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96D814">
      <w:pPr>
        <w:widowControl/>
        <w:shd w:val="clear" w:color="auto" w:fill="FFFFFF"/>
        <w:spacing w:line="384" w:lineRule="atLeast"/>
        <w:jc w:val="center"/>
        <w:rPr>
          <w:rFonts w:ascii="黑体" w:hAnsi="Helvetica" w:eastAsia="黑体" w:cs="Helvetica"/>
          <w:b/>
          <w:color w:val="000000"/>
          <w:kern w:val="0"/>
          <w:sz w:val="32"/>
          <w:szCs w:val="32"/>
        </w:rPr>
      </w:pPr>
      <w:r>
        <w:rPr>
          <w:rFonts w:hint="eastAsia" w:ascii="黑体" w:hAnsi="Helvetica" w:eastAsia="黑体" w:cs="Helvetica"/>
          <w:b/>
          <w:color w:val="000000"/>
          <w:kern w:val="0"/>
          <w:sz w:val="32"/>
          <w:szCs w:val="32"/>
        </w:rPr>
        <w:t>2025年初中学业水平体育与健康考试告家长书</w:t>
      </w:r>
    </w:p>
    <w:p w14:paraId="09238B24">
      <w:pPr>
        <w:widowControl/>
        <w:shd w:val="clear" w:color="auto" w:fill="FFFFFF"/>
        <w:spacing w:line="384" w:lineRule="atLeast"/>
        <w:jc w:val="left"/>
        <w:rPr>
          <w:rFonts w:hint="eastAsia" w:ascii="仿宋_GB2312" w:hAnsi="仿宋" w:eastAsia="仿宋_GB2312" w:cs="Helvetica"/>
          <w:color w:val="000000"/>
          <w:kern w:val="0"/>
        </w:rPr>
      </w:pPr>
      <w:r>
        <w:rPr>
          <w:rFonts w:hint="eastAsia" w:ascii="仿宋_GB2312" w:hAnsi="仿宋" w:eastAsia="仿宋_GB2312" w:cs="Helvetica"/>
          <w:color w:val="000000"/>
          <w:kern w:val="0"/>
        </w:rPr>
        <w:t>尊敬的考生家长：</w:t>
      </w:r>
    </w:p>
    <w:p w14:paraId="62EAFF2C">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您好！我县2025年初中学业水平体育与健康考试工作将于4月8日-12日进行，为了使每位考生和家长都能熟悉考试要求、明确考试规则，确保您的孩子能安全顺利的参加体育考试，现将有关事项告知如下，希望您能仔细阅读，配合学校与考生共同确保考试顺利进行。</w:t>
      </w:r>
    </w:p>
    <w:p w14:paraId="4E9565F6">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一、考试内容及办法</w:t>
      </w:r>
    </w:p>
    <w:p w14:paraId="00CA3FE9">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中考体育考试总分60分，记入中考总分。其中，平时考核成绩占15分，统一考试成绩占45分。</w:t>
      </w:r>
    </w:p>
    <w:p w14:paraId="0EE42741">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（一）平时考核</w:t>
      </w:r>
    </w:p>
    <w:p w14:paraId="41D4FC6D">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平时考核由体育课考核和《国家学生体质健康标准》（2014年修订版）测试组成，由学校组织实施。</w:t>
      </w:r>
    </w:p>
    <w:p w14:paraId="0D00A623">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（二）统一考试</w:t>
      </w:r>
    </w:p>
    <w:p w14:paraId="228382EB">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1、测试项目</w:t>
      </w:r>
    </w:p>
    <w:tbl>
      <w:tblPr>
        <w:tblStyle w:val="2"/>
        <w:tblW w:w="8848" w:type="dxa"/>
        <w:tblInd w:w="-15" w:type="dxa"/>
        <w:shd w:val="clear" w:color="auto" w:fill="FFFFFF"/>
        <w:tblLayout w:type="autofit"/>
        <w:tblCellMar>
          <w:top w:w="0" w:type="dxa"/>
          <w:left w:w="0" w:type="dxa"/>
          <w:bottom w:w="0" w:type="dxa"/>
          <w:right w:w="0" w:type="dxa"/>
        </w:tblCellMar>
      </w:tblPr>
      <w:tblGrid>
        <w:gridCol w:w="575"/>
        <w:gridCol w:w="426"/>
        <w:gridCol w:w="3260"/>
        <w:gridCol w:w="850"/>
        <w:gridCol w:w="3737"/>
      </w:tblGrid>
      <w:tr w14:paraId="2CA8FC74">
        <w:tblPrEx>
          <w:shd w:val="clear" w:color="auto" w:fill="FFFFFF"/>
          <w:tblCellMar>
            <w:top w:w="0" w:type="dxa"/>
            <w:left w:w="0" w:type="dxa"/>
            <w:bottom w:w="0" w:type="dxa"/>
            <w:right w:w="0" w:type="dxa"/>
          </w:tblCellMar>
        </w:tblPrEx>
        <w:trPr>
          <w:trHeight w:val="426" w:hRule="atLeast"/>
        </w:trPr>
        <w:tc>
          <w:tcPr>
            <w:tcW w:w="575" w:type="dxa"/>
            <w:tcBorders>
              <w:top w:val="single" w:color="auto" w:sz="6" w:space="0"/>
              <w:left w:val="single" w:color="auto" w:sz="6" w:space="0"/>
              <w:bottom w:val="single" w:color="auto" w:sz="6" w:space="0"/>
              <w:right w:val="single" w:color="auto" w:sz="6" w:space="0"/>
            </w:tcBorders>
            <w:shd w:val="clear" w:color="auto" w:fill="FFFFFF"/>
            <w:noWrap w:val="0"/>
            <w:vAlign w:val="top"/>
          </w:tcPr>
          <w:p w14:paraId="231F5191">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组别</w:t>
            </w:r>
          </w:p>
        </w:tc>
        <w:tc>
          <w:tcPr>
            <w:tcW w:w="3686" w:type="dxa"/>
            <w:gridSpan w:val="2"/>
            <w:tcBorders>
              <w:top w:val="single" w:color="auto" w:sz="6" w:space="0"/>
              <w:left w:val="nil"/>
              <w:bottom w:val="single" w:color="auto" w:sz="6" w:space="0"/>
              <w:right w:val="single" w:color="auto" w:sz="6" w:space="0"/>
            </w:tcBorders>
            <w:shd w:val="clear" w:color="auto" w:fill="FFFFFF"/>
            <w:noWrap w:val="0"/>
            <w:vAlign w:val="top"/>
          </w:tcPr>
          <w:p w14:paraId="2F4E7B47">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项</w:t>
            </w:r>
            <w:r>
              <w:rPr>
                <w:rFonts w:hint="eastAsia" w:ascii="Calibri" w:hAnsi="Calibri" w:eastAsia="仿宋_GB2312" w:cs="Calibri"/>
                <w:color w:val="000000"/>
                <w:kern w:val="0"/>
              </w:rPr>
              <w:t> </w:t>
            </w:r>
            <w:r>
              <w:rPr>
                <w:rFonts w:hint="eastAsia" w:ascii="仿宋_GB2312" w:hAnsi="仿宋" w:eastAsia="仿宋_GB2312" w:cs="Helvetica"/>
                <w:color w:val="000000"/>
                <w:kern w:val="0"/>
              </w:rPr>
              <w:t xml:space="preserve"> 目</w:t>
            </w:r>
          </w:p>
        </w:tc>
        <w:tc>
          <w:tcPr>
            <w:tcW w:w="85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1F618034">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满分</w:t>
            </w:r>
          </w:p>
        </w:tc>
        <w:tc>
          <w:tcPr>
            <w:tcW w:w="3737"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2813D972">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备</w:t>
            </w:r>
            <w:r>
              <w:rPr>
                <w:rFonts w:hint="eastAsia" w:ascii="Calibri" w:hAnsi="Calibri" w:eastAsia="仿宋_GB2312" w:cs="Calibri"/>
                <w:color w:val="000000"/>
                <w:kern w:val="0"/>
              </w:rPr>
              <w:t> </w:t>
            </w:r>
            <w:r>
              <w:rPr>
                <w:rFonts w:hint="eastAsia" w:ascii="仿宋_GB2312" w:hAnsi="仿宋" w:eastAsia="仿宋_GB2312" w:cs="Helvetica"/>
                <w:color w:val="000000"/>
                <w:kern w:val="0"/>
              </w:rPr>
              <w:t xml:space="preserve"> 注</w:t>
            </w:r>
          </w:p>
        </w:tc>
      </w:tr>
      <w:tr w14:paraId="38F8F91D">
        <w:tblPrEx>
          <w:tblCellMar>
            <w:top w:w="0" w:type="dxa"/>
            <w:left w:w="0" w:type="dxa"/>
            <w:bottom w:w="0" w:type="dxa"/>
            <w:right w:w="0" w:type="dxa"/>
          </w:tblCellMar>
        </w:tblPrEx>
        <w:trPr>
          <w:trHeight w:val="158" w:hRule="atLeast"/>
        </w:trPr>
        <w:tc>
          <w:tcPr>
            <w:tcW w:w="575" w:type="dxa"/>
            <w:vMerge w:val="restart"/>
            <w:tcBorders>
              <w:top w:val="nil"/>
              <w:left w:val="single" w:color="auto" w:sz="6" w:space="0"/>
              <w:right w:val="single" w:color="auto" w:sz="6" w:space="0"/>
            </w:tcBorders>
            <w:shd w:val="clear" w:color="auto" w:fill="FFFFFF"/>
            <w:noWrap w:val="0"/>
            <w:vAlign w:val="center"/>
          </w:tcPr>
          <w:p w14:paraId="750DD6D7">
            <w:pPr>
              <w:widowControl/>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男生</w:t>
            </w:r>
          </w:p>
        </w:tc>
        <w:tc>
          <w:tcPr>
            <w:tcW w:w="426"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8D526CC">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w:t>
            </w:r>
          </w:p>
        </w:tc>
        <w:tc>
          <w:tcPr>
            <w:tcW w:w="3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335D4397">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1000米、游泳200米</w:t>
            </w:r>
          </w:p>
        </w:tc>
        <w:tc>
          <w:tcPr>
            <w:tcW w:w="85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3787E75">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100分</w:t>
            </w:r>
          </w:p>
        </w:tc>
        <w:tc>
          <w:tcPr>
            <w:tcW w:w="37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B3D486F">
            <w:pPr>
              <w:widowControl/>
              <w:wordWrap w:val="0"/>
              <w:spacing w:line="384" w:lineRule="atLeast"/>
              <w:jc w:val="center"/>
              <w:rPr>
                <w:rFonts w:hint="eastAsia" w:ascii="仿宋_GB2312" w:hAnsi="仿宋" w:eastAsia="仿宋_GB2312" w:cs="Helvetica"/>
                <w:b/>
                <w:bCs/>
                <w:color w:val="000000"/>
                <w:kern w:val="0"/>
              </w:rPr>
            </w:pPr>
            <w:r>
              <w:rPr>
                <w:rFonts w:hint="eastAsia" w:ascii="仿宋_GB2312" w:hAnsi="仿宋" w:eastAsia="仿宋_GB2312" w:cs="Helvetica"/>
                <w:color w:val="000000"/>
                <w:kern w:val="0"/>
              </w:rPr>
              <w:t>学生自选一项</w:t>
            </w:r>
          </w:p>
        </w:tc>
      </w:tr>
      <w:tr w14:paraId="2BD1154F">
        <w:tblPrEx>
          <w:shd w:val="clear" w:color="auto" w:fill="FFFFFF"/>
          <w:tblCellMar>
            <w:top w:w="0" w:type="dxa"/>
            <w:left w:w="0" w:type="dxa"/>
            <w:bottom w:w="0" w:type="dxa"/>
            <w:right w:w="0" w:type="dxa"/>
          </w:tblCellMar>
        </w:tblPrEx>
        <w:trPr>
          <w:trHeight w:val="158" w:hRule="atLeast"/>
        </w:trPr>
        <w:tc>
          <w:tcPr>
            <w:tcW w:w="575" w:type="dxa"/>
            <w:vMerge w:val="continue"/>
            <w:tcBorders>
              <w:left w:val="single" w:color="auto" w:sz="6" w:space="0"/>
              <w:right w:val="single" w:color="auto" w:sz="6" w:space="0"/>
            </w:tcBorders>
            <w:shd w:val="clear" w:color="auto" w:fill="FFFFFF"/>
            <w:noWrap w:val="0"/>
            <w:vAlign w:val="center"/>
          </w:tcPr>
          <w:p w14:paraId="78F98817">
            <w:pPr>
              <w:widowControl/>
              <w:jc w:val="center"/>
              <w:rPr>
                <w:rFonts w:hint="eastAsia" w:ascii="仿宋_GB2312" w:hAnsi="仿宋" w:eastAsia="仿宋_GB2312" w:cs="Helvetica"/>
                <w:color w:val="000000"/>
                <w:kern w:val="0"/>
              </w:rPr>
            </w:pPr>
          </w:p>
        </w:tc>
        <w:tc>
          <w:tcPr>
            <w:tcW w:w="426"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9935A17">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2</w:t>
            </w:r>
          </w:p>
        </w:tc>
        <w:tc>
          <w:tcPr>
            <w:tcW w:w="3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4D4144BC">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立定跳远、50米跑</w:t>
            </w:r>
          </w:p>
        </w:tc>
        <w:tc>
          <w:tcPr>
            <w:tcW w:w="85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442CB01">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100分</w:t>
            </w:r>
          </w:p>
        </w:tc>
        <w:tc>
          <w:tcPr>
            <w:tcW w:w="37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11F2F36">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学生自选一项</w:t>
            </w:r>
          </w:p>
        </w:tc>
      </w:tr>
      <w:tr w14:paraId="6C00CD22">
        <w:tblPrEx>
          <w:tblCellMar>
            <w:top w:w="0" w:type="dxa"/>
            <w:left w:w="0" w:type="dxa"/>
            <w:bottom w:w="0" w:type="dxa"/>
            <w:right w:w="0" w:type="dxa"/>
          </w:tblCellMar>
        </w:tblPrEx>
        <w:trPr>
          <w:trHeight w:val="158" w:hRule="atLeast"/>
        </w:trPr>
        <w:tc>
          <w:tcPr>
            <w:tcW w:w="575" w:type="dxa"/>
            <w:vMerge w:val="continue"/>
            <w:tcBorders>
              <w:left w:val="single" w:color="auto" w:sz="6" w:space="0"/>
              <w:right w:val="single" w:color="auto" w:sz="6" w:space="0"/>
            </w:tcBorders>
            <w:shd w:val="clear" w:color="auto" w:fill="FFFFFF"/>
            <w:noWrap w:val="0"/>
            <w:vAlign w:val="center"/>
          </w:tcPr>
          <w:p w14:paraId="0BC6ADB8">
            <w:pPr>
              <w:widowControl/>
              <w:jc w:val="center"/>
              <w:rPr>
                <w:rFonts w:hint="eastAsia" w:ascii="仿宋_GB2312" w:hAnsi="仿宋" w:eastAsia="仿宋_GB2312" w:cs="Helvetica"/>
                <w:color w:val="000000"/>
                <w:kern w:val="0"/>
              </w:rPr>
            </w:pPr>
          </w:p>
        </w:tc>
        <w:tc>
          <w:tcPr>
            <w:tcW w:w="426"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8A5B05D">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3</w:t>
            </w:r>
          </w:p>
        </w:tc>
        <w:tc>
          <w:tcPr>
            <w:tcW w:w="3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26E55803">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单杠引体向上、前掷实心球</w:t>
            </w:r>
          </w:p>
        </w:tc>
        <w:tc>
          <w:tcPr>
            <w:tcW w:w="85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C80075C">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100分</w:t>
            </w:r>
          </w:p>
        </w:tc>
        <w:tc>
          <w:tcPr>
            <w:tcW w:w="37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D6AC015">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学生自选一项</w:t>
            </w:r>
          </w:p>
        </w:tc>
      </w:tr>
      <w:tr w14:paraId="3F3A27FB">
        <w:tblPrEx>
          <w:tblCellMar>
            <w:top w:w="0" w:type="dxa"/>
            <w:left w:w="0" w:type="dxa"/>
            <w:bottom w:w="0" w:type="dxa"/>
            <w:right w:w="0" w:type="dxa"/>
          </w:tblCellMar>
        </w:tblPrEx>
        <w:trPr>
          <w:trHeight w:val="158" w:hRule="atLeast"/>
        </w:trPr>
        <w:tc>
          <w:tcPr>
            <w:tcW w:w="575" w:type="dxa"/>
            <w:vMerge w:val="continue"/>
            <w:tcBorders>
              <w:left w:val="single" w:color="auto" w:sz="6" w:space="0"/>
              <w:bottom w:val="single" w:color="auto" w:sz="4" w:space="0"/>
              <w:right w:val="single" w:color="auto" w:sz="6" w:space="0"/>
            </w:tcBorders>
            <w:shd w:val="clear" w:color="auto" w:fill="FFFFFF"/>
            <w:noWrap w:val="0"/>
            <w:vAlign w:val="center"/>
          </w:tcPr>
          <w:p w14:paraId="3AA76D05">
            <w:pPr>
              <w:widowControl/>
              <w:jc w:val="center"/>
              <w:rPr>
                <w:rFonts w:hint="eastAsia" w:ascii="仿宋_GB2312" w:hAnsi="仿宋" w:eastAsia="仿宋_GB2312" w:cs="Helvetica"/>
                <w:color w:val="000000"/>
                <w:kern w:val="0"/>
              </w:rPr>
            </w:pPr>
          </w:p>
        </w:tc>
        <w:tc>
          <w:tcPr>
            <w:tcW w:w="426"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E79BE15">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4</w:t>
            </w:r>
          </w:p>
        </w:tc>
        <w:tc>
          <w:tcPr>
            <w:tcW w:w="3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73C42C72">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篮球技能、排球技能、足球技能</w:t>
            </w:r>
          </w:p>
        </w:tc>
        <w:tc>
          <w:tcPr>
            <w:tcW w:w="85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6C3D2D8">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100分</w:t>
            </w:r>
          </w:p>
        </w:tc>
        <w:tc>
          <w:tcPr>
            <w:tcW w:w="37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FC814DC">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学生自选一项</w:t>
            </w:r>
          </w:p>
        </w:tc>
      </w:tr>
      <w:tr w14:paraId="68A94A3C">
        <w:tblPrEx>
          <w:shd w:val="clear" w:color="auto" w:fill="FFFFFF"/>
          <w:tblCellMar>
            <w:top w:w="0" w:type="dxa"/>
            <w:left w:w="0" w:type="dxa"/>
            <w:bottom w:w="0" w:type="dxa"/>
            <w:right w:w="0" w:type="dxa"/>
          </w:tblCellMar>
        </w:tblPrEx>
        <w:trPr>
          <w:trHeight w:val="158" w:hRule="atLeast"/>
        </w:trPr>
        <w:tc>
          <w:tcPr>
            <w:tcW w:w="575" w:type="dxa"/>
            <w:vMerge w:val="restart"/>
            <w:tcBorders>
              <w:top w:val="single" w:color="auto" w:sz="4" w:space="0"/>
              <w:left w:val="single" w:color="auto" w:sz="6" w:space="0"/>
              <w:right w:val="single" w:color="auto" w:sz="6" w:space="0"/>
            </w:tcBorders>
            <w:shd w:val="clear" w:color="auto" w:fill="FFFFFF"/>
            <w:noWrap w:val="0"/>
            <w:vAlign w:val="center"/>
          </w:tcPr>
          <w:p w14:paraId="0F6B4A56">
            <w:pPr>
              <w:widowControl/>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女生</w:t>
            </w:r>
          </w:p>
        </w:tc>
        <w:tc>
          <w:tcPr>
            <w:tcW w:w="426"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F7CC279">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w:t>
            </w:r>
          </w:p>
        </w:tc>
        <w:tc>
          <w:tcPr>
            <w:tcW w:w="3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3FD3E23D">
            <w:pPr>
              <w:widowControl/>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800米、游泳200米</w:t>
            </w:r>
          </w:p>
        </w:tc>
        <w:tc>
          <w:tcPr>
            <w:tcW w:w="85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697C29C">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100分</w:t>
            </w:r>
          </w:p>
        </w:tc>
        <w:tc>
          <w:tcPr>
            <w:tcW w:w="37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7C93F8D">
            <w:pPr>
              <w:widowControl/>
              <w:wordWrap w:val="0"/>
              <w:spacing w:line="384" w:lineRule="atLeast"/>
              <w:jc w:val="center"/>
              <w:rPr>
                <w:rFonts w:hint="eastAsia" w:ascii="仿宋_GB2312" w:hAnsi="仿宋" w:eastAsia="仿宋_GB2312" w:cs="Helvetica"/>
                <w:b/>
                <w:bCs/>
                <w:color w:val="000000"/>
                <w:kern w:val="0"/>
              </w:rPr>
            </w:pPr>
            <w:r>
              <w:rPr>
                <w:rFonts w:hint="eastAsia" w:ascii="仿宋_GB2312" w:hAnsi="仿宋" w:eastAsia="仿宋_GB2312" w:cs="Helvetica"/>
                <w:color w:val="000000"/>
                <w:kern w:val="0"/>
              </w:rPr>
              <w:t>学生自选一项</w:t>
            </w:r>
          </w:p>
        </w:tc>
      </w:tr>
      <w:tr w14:paraId="4C85FA9B">
        <w:tblPrEx>
          <w:shd w:val="clear" w:color="auto" w:fill="FFFFFF"/>
          <w:tblCellMar>
            <w:top w:w="0" w:type="dxa"/>
            <w:left w:w="0" w:type="dxa"/>
            <w:bottom w:w="0" w:type="dxa"/>
            <w:right w:w="0" w:type="dxa"/>
          </w:tblCellMar>
        </w:tblPrEx>
        <w:trPr>
          <w:trHeight w:val="158" w:hRule="atLeast"/>
        </w:trPr>
        <w:tc>
          <w:tcPr>
            <w:tcW w:w="575" w:type="dxa"/>
            <w:vMerge w:val="continue"/>
            <w:tcBorders>
              <w:left w:val="single" w:color="auto" w:sz="6" w:space="0"/>
              <w:right w:val="single" w:color="auto" w:sz="6" w:space="0"/>
            </w:tcBorders>
            <w:shd w:val="clear" w:color="auto" w:fill="FFFFFF"/>
            <w:noWrap w:val="0"/>
            <w:vAlign w:val="center"/>
          </w:tcPr>
          <w:p w14:paraId="2C2BAD92">
            <w:pPr>
              <w:widowControl/>
              <w:jc w:val="left"/>
              <w:rPr>
                <w:rFonts w:hint="eastAsia" w:ascii="仿宋_GB2312" w:hAnsi="仿宋" w:eastAsia="仿宋_GB2312" w:cs="Helvetica"/>
                <w:color w:val="000000"/>
                <w:kern w:val="0"/>
              </w:rPr>
            </w:pPr>
          </w:p>
        </w:tc>
        <w:tc>
          <w:tcPr>
            <w:tcW w:w="426"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6FCD463">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2</w:t>
            </w:r>
          </w:p>
        </w:tc>
        <w:tc>
          <w:tcPr>
            <w:tcW w:w="3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244CA7DC">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立定跳远、50米跑</w:t>
            </w:r>
          </w:p>
        </w:tc>
        <w:tc>
          <w:tcPr>
            <w:tcW w:w="85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B0F6C84">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100分</w:t>
            </w:r>
          </w:p>
        </w:tc>
        <w:tc>
          <w:tcPr>
            <w:tcW w:w="37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ACAE3A8">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学生自选一项</w:t>
            </w:r>
          </w:p>
        </w:tc>
      </w:tr>
      <w:tr w14:paraId="570BD1EA">
        <w:tblPrEx>
          <w:tblCellMar>
            <w:top w:w="0" w:type="dxa"/>
            <w:left w:w="0" w:type="dxa"/>
            <w:bottom w:w="0" w:type="dxa"/>
            <w:right w:w="0" w:type="dxa"/>
          </w:tblCellMar>
        </w:tblPrEx>
        <w:trPr>
          <w:trHeight w:val="158" w:hRule="atLeast"/>
        </w:trPr>
        <w:tc>
          <w:tcPr>
            <w:tcW w:w="575" w:type="dxa"/>
            <w:vMerge w:val="continue"/>
            <w:tcBorders>
              <w:left w:val="single" w:color="auto" w:sz="6" w:space="0"/>
              <w:right w:val="single" w:color="auto" w:sz="6" w:space="0"/>
            </w:tcBorders>
            <w:shd w:val="clear" w:color="auto" w:fill="FFFFFF"/>
            <w:noWrap w:val="0"/>
            <w:vAlign w:val="center"/>
          </w:tcPr>
          <w:p w14:paraId="12F70FC1">
            <w:pPr>
              <w:widowControl/>
              <w:jc w:val="left"/>
              <w:rPr>
                <w:rFonts w:hint="eastAsia" w:ascii="仿宋_GB2312" w:hAnsi="仿宋" w:eastAsia="仿宋_GB2312" w:cs="Helvetica"/>
                <w:color w:val="000000"/>
                <w:kern w:val="0"/>
              </w:rPr>
            </w:pPr>
          </w:p>
        </w:tc>
        <w:tc>
          <w:tcPr>
            <w:tcW w:w="426" w:type="dxa"/>
            <w:tcBorders>
              <w:top w:val="nil"/>
              <w:left w:val="nil"/>
              <w:bottom w:val="single" w:color="auto" w:sz="4" w:space="0"/>
              <w:right w:val="single" w:color="auto" w:sz="6" w:space="0"/>
            </w:tcBorders>
            <w:shd w:val="clear" w:color="auto" w:fill="FFFFFF"/>
            <w:noWrap w:val="0"/>
            <w:tcMar>
              <w:top w:w="0" w:type="dxa"/>
              <w:left w:w="105" w:type="dxa"/>
              <w:bottom w:w="0" w:type="dxa"/>
              <w:right w:w="105" w:type="dxa"/>
            </w:tcMar>
            <w:vAlign w:val="center"/>
          </w:tcPr>
          <w:p w14:paraId="3C7FDBDD">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3</w:t>
            </w:r>
          </w:p>
        </w:tc>
        <w:tc>
          <w:tcPr>
            <w:tcW w:w="3260" w:type="dxa"/>
            <w:tcBorders>
              <w:top w:val="nil"/>
              <w:left w:val="nil"/>
              <w:bottom w:val="single" w:color="auto" w:sz="4" w:space="0"/>
              <w:right w:val="single" w:color="auto" w:sz="6" w:space="0"/>
            </w:tcBorders>
            <w:shd w:val="clear" w:color="auto" w:fill="FFFFFF"/>
            <w:noWrap w:val="0"/>
            <w:tcMar>
              <w:top w:w="0" w:type="dxa"/>
              <w:left w:w="105" w:type="dxa"/>
              <w:bottom w:w="0" w:type="dxa"/>
              <w:right w:w="105" w:type="dxa"/>
            </w:tcMar>
            <w:vAlign w:val="top"/>
          </w:tcPr>
          <w:p w14:paraId="3366949C">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一分钟仰卧起坐、前掷实心球</w:t>
            </w:r>
          </w:p>
        </w:tc>
        <w:tc>
          <w:tcPr>
            <w:tcW w:w="850" w:type="dxa"/>
            <w:tcBorders>
              <w:top w:val="nil"/>
              <w:left w:val="nil"/>
              <w:bottom w:val="single" w:color="auto" w:sz="4" w:space="0"/>
              <w:right w:val="single" w:color="auto" w:sz="6" w:space="0"/>
            </w:tcBorders>
            <w:shd w:val="clear" w:color="auto" w:fill="FFFFFF"/>
            <w:noWrap w:val="0"/>
            <w:tcMar>
              <w:top w:w="0" w:type="dxa"/>
              <w:left w:w="105" w:type="dxa"/>
              <w:bottom w:w="0" w:type="dxa"/>
              <w:right w:w="105" w:type="dxa"/>
            </w:tcMar>
            <w:vAlign w:val="center"/>
          </w:tcPr>
          <w:p w14:paraId="65CC3883">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100分</w:t>
            </w:r>
          </w:p>
        </w:tc>
        <w:tc>
          <w:tcPr>
            <w:tcW w:w="3737" w:type="dxa"/>
            <w:tcBorders>
              <w:top w:val="nil"/>
              <w:left w:val="nil"/>
              <w:bottom w:val="single" w:color="auto" w:sz="4" w:space="0"/>
              <w:right w:val="single" w:color="auto" w:sz="6" w:space="0"/>
            </w:tcBorders>
            <w:shd w:val="clear" w:color="auto" w:fill="FFFFFF"/>
            <w:noWrap w:val="0"/>
            <w:tcMar>
              <w:top w:w="0" w:type="dxa"/>
              <w:left w:w="105" w:type="dxa"/>
              <w:bottom w:w="0" w:type="dxa"/>
              <w:right w:w="105" w:type="dxa"/>
            </w:tcMar>
            <w:vAlign w:val="center"/>
          </w:tcPr>
          <w:p w14:paraId="4EC54281">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学生自选一项</w:t>
            </w:r>
          </w:p>
        </w:tc>
      </w:tr>
      <w:tr w14:paraId="339BFD30">
        <w:tblPrEx>
          <w:tblCellMar>
            <w:top w:w="0" w:type="dxa"/>
            <w:left w:w="0" w:type="dxa"/>
            <w:bottom w:w="0" w:type="dxa"/>
            <w:right w:w="0" w:type="dxa"/>
          </w:tblCellMar>
        </w:tblPrEx>
        <w:trPr>
          <w:trHeight w:val="158" w:hRule="atLeast"/>
        </w:trPr>
        <w:tc>
          <w:tcPr>
            <w:tcW w:w="575" w:type="dxa"/>
            <w:vMerge w:val="continue"/>
            <w:tcBorders>
              <w:left w:val="single" w:color="auto" w:sz="6" w:space="0"/>
              <w:bottom w:val="single" w:color="auto" w:sz="6" w:space="0"/>
              <w:right w:val="single" w:color="auto" w:sz="6" w:space="0"/>
            </w:tcBorders>
            <w:shd w:val="clear" w:color="auto" w:fill="FFFFFF"/>
            <w:noWrap w:val="0"/>
            <w:vAlign w:val="center"/>
          </w:tcPr>
          <w:p w14:paraId="23DC7E8B">
            <w:pPr>
              <w:widowControl/>
              <w:jc w:val="left"/>
              <w:rPr>
                <w:rFonts w:hint="eastAsia" w:ascii="仿宋_GB2312" w:hAnsi="仿宋" w:eastAsia="仿宋_GB2312" w:cs="Helvetica"/>
                <w:color w:val="000000"/>
                <w:kern w:val="0"/>
              </w:rPr>
            </w:pPr>
          </w:p>
        </w:tc>
        <w:tc>
          <w:tcPr>
            <w:tcW w:w="426" w:type="dxa"/>
            <w:tcBorders>
              <w:top w:val="single" w:color="auto" w:sz="4"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36B383F">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4</w:t>
            </w:r>
          </w:p>
        </w:tc>
        <w:tc>
          <w:tcPr>
            <w:tcW w:w="3260" w:type="dxa"/>
            <w:tcBorders>
              <w:top w:val="single" w:color="auto" w:sz="4" w:space="0"/>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7EF26F58">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篮球技能、排球技能、足球技能</w:t>
            </w:r>
          </w:p>
        </w:tc>
        <w:tc>
          <w:tcPr>
            <w:tcW w:w="850" w:type="dxa"/>
            <w:tcBorders>
              <w:top w:val="single" w:color="auto" w:sz="4"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CBE20FE">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100分</w:t>
            </w:r>
          </w:p>
        </w:tc>
        <w:tc>
          <w:tcPr>
            <w:tcW w:w="3737" w:type="dxa"/>
            <w:tcBorders>
              <w:top w:val="single" w:color="auto" w:sz="4"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194ED1F">
            <w:pPr>
              <w:widowControl/>
              <w:wordWrap w:val="0"/>
              <w:spacing w:line="384" w:lineRule="atLeast"/>
              <w:jc w:val="center"/>
              <w:rPr>
                <w:rFonts w:hint="eastAsia" w:ascii="仿宋_GB2312" w:hAnsi="仿宋" w:eastAsia="仿宋_GB2312" w:cs="Helvetica"/>
                <w:color w:val="000000"/>
                <w:kern w:val="0"/>
              </w:rPr>
            </w:pPr>
            <w:r>
              <w:rPr>
                <w:rFonts w:hint="eastAsia" w:ascii="仿宋_GB2312" w:hAnsi="仿宋" w:eastAsia="仿宋_GB2312" w:cs="Helvetica"/>
                <w:color w:val="000000"/>
                <w:kern w:val="0"/>
              </w:rPr>
              <w:t>学生自选一项</w:t>
            </w:r>
          </w:p>
        </w:tc>
      </w:tr>
    </w:tbl>
    <w:p w14:paraId="3406B566">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2、测试器材及办法</w:t>
      </w:r>
    </w:p>
    <w:p w14:paraId="49522EC6">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按照省市相关要求，我县统一考试在扶风县第二初中设置标准化考点，统一使用标准化电子器材测试。考生持《宝鸡市2025年初中毕业升学体育考试准考证》入场考试。</w:t>
      </w:r>
    </w:p>
    <w:p w14:paraId="2DE68C5B">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二、关于免考与缓考</w:t>
      </w:r>
    </w:p>
    <w:p w14:paraId="32547E91">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（一）免考</w:t>
      </w:r>
    </w:p>
    <w:p w14:paraId="6A3BDF8F">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考生因病（心、肺、肝、肾等主要器官有严重疾病）、身体发育异常、肢体残疾、畸形（严重影响功能者）可申请体育统一考试免考。其中持一、二、三级残疾证的考生，体育统一考试成绩按满分45分记入升学录取总分，其他因病免考的考生统一考试成绩按统一考试满分的60%（27分）记入升学录取总分。</w:t>
      </w:r>
    </w:p>
    <w:p w14:paraId="5AD57CB5">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因残、因病申请免考的考生，须向所在学校提出申请、提交相关证明材料，经所在学校初审、公示后报县初中毕业生升学体育考试工作领导小组按程序审核确认。</w:t>
      </w:r>
    </w:p>
    <w:p w14:paraId="416724EC">
      <w:pPr>
        <w:widowControl/>
        <w:numPr>
          <w:ilvl w:val="0"/>
          <w:numId w:val="1"/>
        </w:numPr>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缓考</w:t>
      </w:r>
    </w:p>
    <w:p w14:paraId="6A5604EA">
      <w:pPr>
        <w:widowControl/>
        <w:numPr>
          <w:ilvl w:val="0"/>
          <w:numId w:val="1"/>
        </w:numPr>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因突发性疾病（或伤病）、女生在生理期间不能按期参加统一考试的考生可书面申请缓期考试，经学校审核、县初中毕业生升学体育考试工作领导小组审批后，可以缓期考试（只限一次机会）。缓考考生必须在规定时间内参加考试。</w:t>
      </w:r>
    </w:p>
    <w:p w14:paraId="60902919">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因考前或临场伤病、女生在生理期间等特殊情况，缓考期间仍未康复的，可申请统一考试免考。其统一考试成绩按统一考试满分的60%（27分）计算。因伤病获准单项免考的考生，其单项成绩按该项目统一考试满分的60%（6.75分）计算。</w:t>
      </w:r>
    </w:p>
    <w:p w14:paraId="392CAE0D">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三、特别提示</w:t>
      </w:r>
    </w:p>
    <w:p w14:paraId="419385EE">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1、考试期间，我们将强化监管、严肃考纪，统一使用符合标准、确保安全的测试器械和电子测试仪器，同时设置无线电信号屏蔽设备，实行全封闭式管理，现场公布考试成绩，安排纪检督查人员全程监督，广泛接受社会监督，敬请家长放心。</w:t>
      </w:r>
    </w:p>
    <w:p w14:paraId="532643CD">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2、为了在不影响考生的健康状况情况下使考生取得优异成绩，请家长积极配合学校指导孩子认真学习体育考试的相关规定，始终把孩子生命安全和健康放在第一位，主动配合学校做好考生考试期间各项安全工作，杜绝各种意外伤害事故发生。</w:t>
      </w:r>
    </w:p>
    <w:p w14:paraId="71D4EAAC">
      <w:pPr>
        <w:widowControl/>
        <w:shd w:val="clear" w:color="auto" w:fill="FFFFFF"/>
        <w:spacing w:line="384" w:lineRule="atLeast"/>
        <w:ind w:firstLine="480"/>
        <w:rPr>
          <w:rFonts w:hint="eastAsia" w:ascii="仿宋_GB2312" w:hAnsi="仿宋" w:eastAsia="仿宋_GB2312" w:cs="Helvetica"/>
          <w:kern w:val="0"/>
        </w:rPr>
      </w:pPr>
      <w:r>
        <w:rPr>
          <w:rFonts w:hint="eastAsia" w:ascii="仿宋_GB2312" w:hAnsi="仿宋" w:eastAsia="仿宋_GB2312" w:cs="Helvetica"/>
          <w:kern w:val="0"/>
        </w:rPr>
        <w:t>3、考生在考前必须做到先体检，再考试。考生家长应对考生身体健康状况负责。未体检或体检不合格的考生不得参加体育测试。考生在考试过程中如遇身体不适等异常情况，务必听从现场医护人员医嘱。考生的健康和生命安全无小事，必须做到既不能隐瞒病情情况也不能虚报疾病。凡因忽略、隐瞒或虚报而导致的一切伤亡事故均由考生家长或法定监护人负全责。</w:t>
      </w:r>
    </w:p>
    <w:p w14:paraId="2CD5977F">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Calibri" w:hAnsi="Calibri" w:eastAsia="仿宋_GB2312" w:cs="Calibri"/>
          <w:color w:val="000000"/>
          <w:kern w:val="0"/>
        </w:rPr>
        <w:t> </w:t>
      </w:r>
      <w:r>
        <w:rPr>
          <w:rFonts w:hint="eastAsia" w:ascii="仿宋_GB2312" w:hAnsi="仿宋" w:eastAsia="仿宋_GB2312" w:cs="Helvetica"/>
          <w:color w:val="000000"/>
          <w:kern w:val="0"/>
        </w:rPr>
        <w:t>4、考生在考试期间应穿适合运动的服装，不得穿着红色的鞋和裤子，女生要将长发盘起，以免影响设备测试。</w:t>
      </w:r>
    </w:p>
    <w:p w14:paraId="78B16EEF">
      <w:pPr>
        <w:widowControl/>
        <w:shd w:val="clear" w:color="auto" w:fill="FFFFFF"/>
        <w:spacing w:line="384" w:lineRule="atLeast"/>
        <w:ind w:firstLine="480"/>
        <w:rPr>
          <w:rFonts w:hint="eastAsia" w:ascii="仿宋_GB2312" w:hAnsi="仿宋" w:eastAsia="仿宋_GB2312" w:cs="Helvetica"/>
          <w:color w:val="000000"/>
          <w:kern w:val="0"/>
        </w:rPr>
      </w:pPr>
    </w:p>
    <w:p w14:paraId="2D52B44E">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您的孩子是否能参加宝鸡市2025年初中学业水平体育与健康考试：</w:t>
      </w:r>
    </w:p>
    <w:p w14:paraId="392C34CE">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（填“是”与“否”）</w:t>
      </w:r>
      <w:r>
        <w:rPr>
          <w:rFonts w:hint="eastAsia" w:ascii="Calibri" w:hAnsi="Calibri" w:eastAsia="仿宋_GB2312" w:cs="Calibri"/>
          <w:color w:val="000000"/>
          <w:kern w:val="0"/>
        </w:rPr>
        <w:t>    </w:t>
      </w:r>
    </w:p>
    <w:p w14:paraId="232CF1B7">
      <w:pPr>
        <w:widowControl/>
        <w:shd w:val="clear" w:color="auto" w:fill="FFFFFF"/>
        <w:spacing w:line="384" w:lineRule="atLeast"/>
        <w:ind w:firstLine="480"/>
        <w:rPr>
          <w:rFonts w:hint="eastAsia" w:ascii="仿宋_GB2312" w:hAnsi="仿宋" w:eastAsia="仿宋_GB2312" w:cs="Helvetica"/>
          <w:color w:val="000000"/>
          <w:kern w:val="0"/>
        </w:rPr>
      </w:pPr>
    </w:p>
    <w:p w14:paraId="0A2C534C">
      <w:pPr>
        <w:widowControl/>
        <w:shd w:val="clear" w:color="auto" w:fill="FFFFFF"/>
        <w:spacing w:line="384" w:lineRule="atLeast"/>
        <w:ind w:firstLine="480"/>
        <w:rPr>
          <w:rFonts w:hint="eastAsia" w:ascii="仿宋_GB2312" w:hAnsi="仿宋" w:eastAsia="仿宋_GB2312" w:cs="Helvetica"/>
          <w:color w:val="000000"/>
          <w:kern w:val="0"/>
        </w:rPr>
      </w:pPr>
    </w:p>
    <w:p w14:paraId="3A03A74E">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仿宋_GB2312" w:hAnsi="仿宋" w:eastAsia="仿宋_GB2312" w:cs="Helvetica"/>
          <w:color w:val="000000"/>
          <w:kern w:val="0"/>
        </w:rPr>
        <w:t>考生</w:t>
      </w:r>
      <w:r>
        <w:rPr>
          <w:rFonts w:hint="eastAsia" w:ascii="仿宋_GB2312" w:hAnsi="仿宋" w:eastAsia="仿宋_GB2312" w:cs="Helvetica"/>
          <w:color w:val="000000"/>
          <w:kern w:val="0"/>
          <w:lang w:val="en-US" w:eastAsia="zh-CN"/>
        </w:rPr>
        <w:t>姓名</w:t>
      </w:r>
      <w:r>
        <w:rPr>
          <w:rFonts w:hint="eastAsia" w:ascii="仿宋_GB2312" w:hAnsi="仿宋" w:eastAsia="仿宋_GB2312" w:cs="Helvetica"/>
          <w:color w:val="000000"/>
          <w:kern w:val="0"/>
        </w:rPr>
        <w:t xml:space="preserve">：           </w:t>
      </w:r>
      <w:r>
        <w:rPr>
          <w:rFonts w:hint="eastAsia" w:ascii="仿宋_GB2312" w:hAnsi="仿宋" w:eastAsia="仿宋_GB2312" w:cs="Helvetica"/>
          <w:color w:val="000000"/>
          <w:kern w:val="0"/>
          <w:lang w:val="en-US" w:eastAsia="zh-CN"/>
        </w:rPr>
        <w:t xml:space="preserve">  </w:t>
      </w:r>
      <w:r>
        <w:rPr>
          <w:rFonts w:hint="eastAsia" w:ascii="仿宋_GB2312" w:hAnsi="仿宋" w:eastAsia="仿宋_GB2312" w:cs="Helvetica"/>
          <w:color w:val="000000"/>
          <w:kern w:val="0"/>
        </w:rPr>
        <w:t xml:space="preserve">  班级：</w:t>
      </w:r>
      <w:r>
        <w:rPr>
          <w:rFonts w:hint="eastAsia" w:ascii="Calibri" w:hAnsi="Calibri" w:eastAsia="仿宋_GB2312" w:cs="Calibri"/>
          <w:color w:val="000000"/>
          <w:kern w:val="0"/>
        </w:rPr>
        <w:t>   </w:t>
      </w:r>
      <w:r>
        <w:rPr>
          <w:rFonts w:hint="eastAsia" w:ascii="仿宋_GB2312" w:hAnsi="仿宋" w:eastAsia="仿宋_GB2312" w:cs="Helvetica"/>
          <w:color w:val="000000"/>
          <w:kern w:val="0"/>
        </w:rPr>
        <w:t xml:space="preserve">     </w:t>
      </w:r>
      <w:r>
        <w:rPr>
          <w:rFonts w:hint="eastAsia" w:ascii="仿宋_GB2312" w:hAnsi="仿宋" w:eastAsia="仿宋_GB2312" w:cs="Helvetica"/>
          <w:color w:val="000000"/>
          <w:kern w:val="0"/>
          <w:lang w:val="en-US" w:eastAsia="zh-CN"/>
        </w:rPr>
        <w:t xml:space="preserve"> </w:t>
      </w:r>
      <w:r>
        <w:rPr>
          <w:rFonts w:hint="eastAsia" w:ascii="仿宋_GB2312" w:hAnsi="仿宋" w:eastAsia="仿宋_GB2312" w:cs="Helvetica"/>
          <w:color w:val="000000"/>
          <w:kern w:val="0"/>
        </w:rPr>
        <w:t xml:space="preserve"> </w:t>
      </w:r>
      <w:r>
        <w:rPr>
          <w:rFonts w:hint="eastAsia" w:ascii="仿宋_GB2312" w:hAnsi="仿宋" w:eastAsia="仿宋_GB2312" w:cs="Helvetica"/>
          <w:color w:val="000000"/>
          <w:kern w:val="0"/>
          <w:lang w:val="en-US" w:eastAsia="zh-CN"/>
        </w:rPr>
        <w:t xml:space="preserve"> </w:t>
      </w:r>
      <w:r>
        <w:rPr>
          <w:rFonts w:hint="eastAsia" w:ascii="仿宋_GB2312" w:hAnsi="仿宋" w:eastAsia="仿宋_GB2312" w:cs="Helvetica"/>
          <w:color w:val="000000"/>
          <w:kern w:val="0"/>
        </w:rPr>
        <w:t xml:space="preserve">   </w:t>
      </w:r>
      <w:r>
        <w:rPr>
          <w:rFonts w:hint="eastAsia" w:ascii="仿宋_GB2312" w:hAnsi="仿宋" w:eastAsia="仿宋_GB2312" w:cs="Helvetica"/>
          <w:color w:val="000000"/>
          <w:kern w:val="0"/>
          <w:lang w:val="en-US" w:eastAsia="zh-CN"/>
        </w:rPr>
        <w:t xml:space="preserve">   </w:t>
      </w:r>
      <w:r>
        <w:rPr>
          <w:rFonts w:hint="eastAsia" w:ascii="Calibri" w:hAnsi="Calibri" w:eastAsia="仿宋_GB2312" w:cs="Calibri"/>
          <w:color w:val="000000"/>
          <w:kern w:val="0"/>
        </w:rPr>
        <w:t> </w:t>
      </w:r>
      <w:r>
        <w:rPr>
          <w:rFonts w:hint="eastAsia" w:ascii="仿宋_GB2312" w:hAnsi="仿宋" w:eastAsia="仿宋_GB2312" w:cs="Helvetica"/>
          <w:color w:val="000000"/>
          <w:kern w:val="0"/>
        </w:rPr>
        <w:t>家长签字：</w:t>
      </w:r>
    </w:p>
    <w:p w14:paraId="468BD5A0">
      <w:pPr>
        <w:widowControl/>
        <w:shd w:val="clear" w:color="auto" w:fill="FFFFFF"/>
        <w:spacing w:line="384" w:lineRule="atLeast"/>
        <w:rPr>
          <w:rFonts w:hint="eastAsia" w:ascii="仿宋_GB2312" w:hAnsi="仿宋" w:eastAsia="仿宋_GB2312" w:cs="Helvetica"/>
          <w:color w:val="000000"/>
          <w:kern w:val="0"/>
        </w:rPr>
      </w:pPr>
    </w:p>
    <w:p w14:paraId="17840A04">
      <w:pPr>
        <w:widowControl/>
        <w:shd w:val="clear" w:color="auto" w:fill="FFFFFF"/>
        <w:spacing w:line="384" w:lineRule="atLeast"/>
        <w:rPr>
          <w:rFonts w:hint="eastAsia" w:ascii="Calibri" w:hAnsi="Calibri" w:eastAsia="仿宋_GB2312" w:cs="Calibri"/>
          <w:color w:val="000000"/>
          <w:kern w:val="0"/>
        </w:rPr>
      </w:pPr>
      <w:bookmarkStart w:id="0" w:name="_GoBack"/>
      <w:bookmarkEnd w:id="0"/>
      <w:r>
        <w:rPr>
          <w:rFonts w:hint="eastAsia" w:ascii="Calibri" w:hAnsi="Calibri" w:eastAsia="仿宋_GB2312" w:cs="Calibri"/>
          <w:color w:val="000000"/>
          <w:kern w:val="0"/>
        </w:rPr>
        <w:t>   </w:t>
      </w:r>
    </w:p>
    <w:p w14:paraId="09675ADF">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Calibri" w:hAnsi="Calibri" w:eastAsia="仿宋_GB2312" w:cs="Calibri"/>
          <w:color w:val="000000"/>
          <w:kern w:val="0"/>
          <w:lang w:val="en-US" w:eastAsia="zh-CN"/>
        </w:rPr>
        <w:t xml:space="preserve">         </w:t>
      </w:r>
    </w:p>
    <w:p w14:paraId="4159509E">
      <w:pPr>
        <w:widowControl/>
        <w:shd w:val="clear" w:color="auto" w:fill="FFFFFF"/>
        <w:spacing w:line="384" w:lineRule="atLeast"/>
        <w:ind w:firstLine="480"/>
        <w:rPr>
          <w:rFonts w:hint="eastAsia" w:ascii="仿宋_GB2312" w:hAnsi="仿宋" w:eastAsia="仿宋_GB2312" w:cs="Helvetica"/>
          <w:color w:val="000000"/>
          <w:kern w:val="0"/>
        </w:rPr>
      </w:pPr>
    </w:p>
    <w:p w14:paraId="5CE6616C">
      <w:pPr>
        <w:widowControl/>
        <w:shd w:val="clear" w:color="auto" w:fill="FFFFFF"/>
        <w:spacing w:line="384" w:lineRule="atLeast"/>
        <w:ind w:firstLine="480"/>
        <w:rPr>
          <w:rFonts w:hint="eastAsia" w:ascii="仿宋_GB2312" w:hAnsi="仿宋" w:eastAsia="仿宋_GB2312" w:cs="Helvetica"/>
          <w:color w:val="000000"/>
          <w:kern w:val="0"/>
        </w:rPr>
      </w:pPr>
      <w:r>
        <w:rPr>
          <w:rFonts w:hint="eastAsia" w:ascii="Calibri" w:hAnsi="Calibri" w:eastAsia="仿宋_GB2312" w:cs="Calibri"/>
          <w:color w:val="000000"/>
          <w:kern w:val="0"/>
        </w:rPr>
        <w:t> </w:t>
      </w:r>
      <w:r>
        <w:rPr>
          <w:rFonts w:hint="eastAsia" w:ascii="仿宋_GB2312" w:hAnsi="仿宋" w:eastAsia="仿宋_GB2312" w:cs="Helvetica"/>
          <w:color w:val="000000"/>
          <w:kern w:val="0"/>
        </w:rPr>
        <w:t xml:space="preserve">                                     考试政策咨询电话：5232501</w:t>
      </w:r>
      <w:r>
        <w:rPr>
          <w:rFonts w:hint="eastAsia" w:ascii="Calibri" w:hAnsi="Calibri" w:eastAsia="仿宋_GB2312" w:cs="Calibri"/>
          <w:color w:val="000000"/>
          <w:kern w:val="0"/>
        </w:rPr>
        <w:t>     </w:t>
      </w:r>
    </w:p>
    <w:p w14:paraId="622AC0C0">
      <w:pPr>
        <w:widowControl/>
        <w:shd w:val="clear" w:color="auto" w:fill="FFFFFF"/>
        <w:spacing w:line="384" w:lineRule="atLeast"/>
        <w:ind w:firstLine="4783" w:firstLineChars="2278"/>
        <w:rPr>
          <w:rFonts w:hint="eastAsia" w:ascii="仿宋_GB2312" w:hAnsi="仿宋" w:eastAsia="仿宋_GB2312" w:cs="Helvetica"/>
          <w:color w:val="000000"/>
          <w:kern w:val="0"/>
        </w:rPr>
      </w:pPr>
      <w:r>
        <w:rPr>
          <w:rFonts w:hint="eastAsia" w:ascii="仿宋_GB2312" w:hAnsi="仿宋" w:eastAsia="仿宋_GB2312" w:cs="Helvetica"/>
          <w:color w:val="000000"/>
          <w:kern w:val="0"/>
        </w:rPr>
        <w:t>监督举报电话：5232910　</w:t>
      </w:r>
    </w:p>
    <w:p w14:paraId="458DECCC">
      <w:pPr>
        <w:widowControl/>
        <w:shd w:val="clear" w:color="auto" w:fill="FFFFFF"/>
        <w:spacing w:line="384" w:lineRule="atLeast"/>
        <w:ind w:firstLine="3360" w:firstLineChars="1600"/>
        <w:rPr>
          <w:rFonts w:hint="eastAsia" w:ascii="仿宋_GB2312" w:hAnsi="仿宋" w:eastAsia="仿宋_GB2312" w:cs="Helvetica"/>
          <w:color w:val="000000"/>
          <w:kern w:val="0"/>
        </w:rPr>
      </w:pPr>
      <w:r>
        <w:rPr>
          <w:rFonts w:hint="eastAsia" w:ascii="仿宋_GB2312" w:hAnsi="仿宋" w:eastAsia="仿宋_GB2312" w:cs="Helvetica"/>
          <w:color w:val="000000"/>
          <w:kern w:val="0"/>
        </w:rPr>
        <w:t>扶风县初中学业水平体育与健康考试工作领导小组</w:t>
      </w:r>
    </w:p>
    <w:p w14:paraId="53DDE84F">
      <w:pPr>
        <w:widowControl/>
        <w:shd w:val="clear" w:color="auto" w:fill="FFFFFF"/>
        <w:spacing w:line="384" w:lineRule="atLeast"/>
        <w:ind w:firstLine="5098" w:firstLineChars="2428"/>
        <w:rPr>
          <w:rFonts w:hint="eastAsia" w:ascii="仿宋_GB2312" w:hAnsi="仿宋" w:eastAsia="仿宋_GB2312" w:cs="Helvetica"/>
          <w:color w:val="000000"/>
          <w:kern w:val="0"/>
        </w:rPr>
      </w:pPr>
      <w:r>
        <w:rPr>
          <w:rFonts w:hint="eastAsia" w:ascii="仿宋_GB2312" w:hAnsi="仿宋" w:eastAsia="仿宋_GB2312" w:cs="Helvetica"/>
          <w:color w:val="000000"/>
          <w:kern w:val="0"/>
        </w:rPr>
        <w:t>2025年4月</w:t>
      </w:r>
    </w:p>
    <w:p w14:paraId="03DA2940">
      <w:pPr>
        <w:spacing w:line="400" w:lineRule="exact"/>
        <w:rPr>
          <w:rFonts w:hint="eastAsia" w:ascii="华文中宋" w:hAnsi="华文中宋" w:eastAsia="华文中宋" w:cs="华文中宋"/>
          <w:sz w:val="40"/>
          <w:szCs w:val="40"/>
        </w:rPr>
      </w:pPr>
    </w:p>
    <w:p w14:paraId="5D9E0AA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ED9468"/>
    <w:multiLevelType w:val="singleLevel"/>
    <w:tmpl w:val="0EED946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05B69"/>
    <w:rsid w:val="5B805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2025-04-01T06:47:00Z</dcterms:created>
  <dc:creator>小爽。</dc:creator>
  <cp:lastModifiedBy>小爽。</cp:lastModifiedBy>
  <dcterms:modified xsi:type="dcterms:W3CDTF">2025-04-01T06:49:16Z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3F3466965E9547798FE83F2B00658161_11</vt:lpwstr>
  </property>
  <property fmtid="{D5CDD505-2E9C-101B-9397-08002B2CF9AE}" pid="4" name="KSOTemplateDocerSaveRecord">
    <vt:lpwstr>eyJoZGlkIjoiZWYwYmZkNDA4ZDkxOGRhM2IzMTRhOWIzNTJlNzY3MzUiLCJ1c2VySWQiOiIxOTY5NDg0MDkifQ==</vt:lpwstr>
  </property>
</Properties>
</file>