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6D5662">
      <w:pPr>
        <w:jc w:val="both"/>
        <w:rPr>
          <w:rFonts w:hint="default" w:ascii="黑体" w:hAnsi="Times New Roman" w:eastAsia="黑体" w:cs="黑体"/>
          <w:b/>
          <w:sz w:val="21"/>
          <w:szCs w:val="21"/>
          <w:lang w:val="en-US" w:eastAsia="zh-CN"/>
        </w:rPr>
      </w:pPr>
    </w:p>
    <w:p w14:paraId="43AB6E61">
      <w:pPr>
        <w:jc w:val="both"/>
        <w:rPr>
          <w:rFonts w:hint="default" w:ascii="黑体" w:hAnsi="Times New Roman" w:eastAsia="黑体" w:cs="黑体"/>
          <w:b/>
          <w:sz w:val="36"/>
          <w:szCs w:val="36"/>
          <w:lang w:val="en-US" w:eastAsia="zh-CN"/>
        </w:rPr>
      </w:pPr>
    </w:p>
    <w:p w14:paraId="3C79F758">
      <w:pPr>
        <w:pStyle w:val="3"/>
        <w:rPr>
          <w:rFonts w:hint="eastAsia"/>
          <w:sz w:val="18"/>
          <w:szCs w:val="18"/>
          <w:lang w:val="en-US" w:eastAsia="zh-CN"/>
        </w:rPr>
      </w:pPr>
    </w:p>
    <w:p w14:paraId="027FC306">
      <w:pPr>
        <w:pStyle w:val="3"/>
        <w:rPr>
          <w:rFonts w:hint="eastAsia"/>
          <w:sz w:val="18"/>
          <w:szCs w:val="18"/>
          <w:lang w:val="en-US" w:eastAsia="zh-CN"/>
        </w:rPr>
      </w:pPr>
    </w:p>
    <w:p w14:paraId="34118B2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val="0"/>
          <w:sz w:val="52"/>
          <w:szCs w:val="52"/>
          <w:lang w:val="en-US" w:eastAsia="zh-CN"/>
        </w:rPr>
      </w:pPr>
      <w:r>
        <w:rPr>
          <w:rFonts w:hint="eastAsia" w:ascii="黑体" w:hAnsi="黑体" w:eastAsia="黑体" w:cs="黑体"/>
          <w:b/>
          <w:bCs w:val="0"/>
          <w:sz w:val="52"/>
          <w:szCs w:val="52"/>
          <w:lang w:val="en-US" w:eastAsia="zh-CN"/>
        </w:rPr>
        <w:t>2024年宝鸡峡渭高干渠凤鸣中坡段</w:t>
      </w:r>
    </w:p>
    <w:p w14:paraId="3AE462D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bCs w:val="0"/>
          <w:sz w:val="52"/>
          <w:szCs w:val="52"/>
          <w:lang w:eastAsia="zh-CN"/>
        </w:rPr>
      </w:pPr>
      <w:r>
        <w:rPr>
          <w:rFonts w:hint="eastAsia" w:ascii="黑体" w:hAnsi="黑体" w:eastAsia="黑体" w:cs="黑体"/>
          <w:b/>
          <w:bCs w:val="0"/>
          <w:sz w:val="52"/>
          <w:szCs w:val="52"/>
          <w:lang w:val="en-US" w:eastAsia="zh-CN"/>
        </w:rPr>
        <w:t>排险除患经费项目</w:t>
      </w:r>
      <w:r>
        <w:rPr>
          <w:rFonts w:hint="eastAsia" w:ascii="黑体" w:hAnsi="黑体" w:eastAsia="黑体" w:cs="黑体"/>
          <w:b/>
          <w:bCs w:val="0"/>
          <w:sz w:val="52"/>
          <w:szCs w:val="52"/>
          <w:lang w:eastAsia="zh-CN"/>
        </w:rPr>
        <w:t>绩效评价报告</w:t>
      </w:r>
    </w:p>
    <w:p w14:paraId="77E773F2">
      <w:pPr>
        <w:pStyle w:val="2"/>
        <w:rPr>
          <w:rFonts w:hint="eastAsia"/>
        </w:rPr>
      </w:pPr>
    </w:p>
    <w:p w14:paraId="2BC48D76">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lang w:val="en-US" w:eastAsia="zh-CN"/>
        </w:rPr>
      </w:pPr>
      <w:r>
        <w:rPr>
          <w:rFonts w:hint="eastAsia" w:ascii="华文宋体" w:hAnsi="华文宋体"/>
          <w:color w:val="auto"/>
          <w:sz w:val="31"/>
          <w:highlight w:val="none"/>
          <w:shd w:val="clear" w:color="auto" w:fill="FFFFFF"/>
          <w:lang w:val="en-US" w:eastAsia="zh-CN"/>
        </w:rPr>
        <w:t xml:space="preserve"> </w:t>
      </w:r>
    </w:p>
    <w:p w14:paraId="06888E4F">
      <w:pPr>
        <w:pStyle w:val="2"/>
        <w:rPr>
          <w:rFonts w:hint="default"/>
          <w:color w:val="auto"/>
          <w:highlight w:val="none"/>
          <w:lang w:val="en-US" w:eastAsia="zh-CN"/>
        </w:rPr>
      </w:pPr>
    </w:p>
    <w:p w14:paraId="40EA4A16">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30FFDDE6">
      <w:pPr>
        <w:tabs>
          <w:tab w:val="left" w:pos="6300"/>
          <w:tab w:val="left" w:pos="6480"/>
          <w:tab w:val="left" w:pos="6660"/>
          <w:tab w:val="left" w:pos="7050"/>
          <w:tab w:val="left" w:pos="7200"/>
          <w:tab w:val="left" w:pos="7350"/>
        </w:tabs>
        <w:ind w:right="600" w:firstLine="620" w:firstLineChars="200"/>
        <w:jc w:val="center"/>
        <w:outlineLvl w:val="0"/>
        <w:rPr>
          <w:rFonts w:hint="eastAsia" w:ascii="华文宋体" w:hAnsi="华文宋体"/>
          <w:color w:val="auto"/>
          <w:sz w:val="31"/>
          <w:highlight w:val="none"/>
          <w:shd w:val="clear" w:color="auto" w:fill="FFFFFF"/>
        </w:rPr>
      </w:pPr>
    </w:p>
    <w:p w14:paraId="5B10650C">
      <w:pPr>
        <w:spacing w:line="360" w:lineRule="auto"/>
        <w:ind w:firstLine="1285" w:firstLineChars="400"/>
        <w:rPr>
          <w:rFonts w:hint="eastAsia" w:ascii="宋体" w:hAnsi="宋体" w:cs="宋体"/>
          <w:b/>
          <w:bCs/>
          <w:color w:val="auto"/>
          <w:sz w:val="32"/>
          <w:szCs w:val="32"/>
          <w:highlight w:val="none"/>
        </w:rPr>
      </w:pPr>
    </w:p>
    <w:p w14:paraId="3AE21B84">
      <w:pPr>
        <w:pStyle w:val="2"/>
        <w:rPr>
          <w:rFonts w:hint="eastAsia" w:ascii="宋体" w:hAnsi="宋体" w:cs="宋体"/>
          <w:b/>
          <w:bCs/>
          <w:color w:val="auto"/>
          <w:sz w:val="32"/>
          <w:szCs w:val="32"/>
          <w:highlight w:val="none"/>
        </w:rPr>
      </w:pPr>
    </w:p>
    <w:p w14:paraId="106FAE7A">
      <w:pPr>
        <w:pStyle w:val="3"/>
        <w:rPr>
          <w:rFonts w:hint="eastAsia" w:ascii="宋体" w:hAnsi="宋体" w:cs="宋体"/>
          <w:b/>
          <w:bCs/>
          <w:color w:val="auto"/>
          <w:sz w:val="32"/>
          <w:szCs w:val="32"/>
          <w:highlight w:val="none"/>
        </w:rPr>
      </w:pPr>
    </w:p>
    <w:p w14:paraId="1C8417DC">
      <w:pPr>
        <w:pStyle w:val="3"/>
        <w:rPr>
          <w:rFonts w:hint="eastAsia" w:ascii="宋体" w:hAnsi="宋体" w:cs="宋体"/>
          <w:b/>
          <w:bCs/>
          <w:color w:val="auto"/>
          <w:sz w:val="32"/>
          <w:szCs w:val="32"/>
          <w:highlight w:val="none"/>
        </w:rPr>
      </w:pPr>
    </w:p>
    <w:p w14:paraId="46CE1AB5">
      <w:pPr>
        <w:pStyle w:val="3"/>
        <w:rPr>
          <w:rFonts w:hint="eastAsia" w:ascii="宋体" w:hAnsi="宋体" w:cs="宋体"/>
          <w:b/>
          <w:bCs/>
          <w:color w:val="auto"/>
          <w:sz w:val="32"/>
          <w:szCs w:val="32"/>
          <w:highlight w:val="none"/>
        </w:rPr>
      </w:pPr>
    </w:p>
    <w:p w14:paraId="10B5E49D">
      <w:pPr>
        <w:pStyle w:val="3"/>
        <w:rPr>
          <w:rFonts w:hint="eastAsia" w:ascii="宋体" w:hAnsi="宋体" w:cs="宋体"/>
          <w:b/>
          <w:bCs/>
          <w:color w:val="auto"/>
          <w:sz w:val="32"/>
          <w:szCs w:val="32"/>
          <w:highlight w:val="none"/>
        </w:rPr>
      </w:pPr>
    </w:p>
    <w:p w14:paraId="4B115D63">
      <w:pPr>
        <w:pStyle w:val="3"/>
        <w:rPr>
          <w:rFonts w:hint="eastAsia" w:ascii="宋体" w:hAnsi="宋体" w:cs="宋体"/>
          <w:b/>
          <w:bCs/>
          <w:color w:val="auto"/>
          <w:sz w:val="32"/>
          <w:szCs w:val="32"/>
          <w:highlight w:val="none"/>
        </w:rPr>
      </w:pPr>
    </w:p>
    <w:p w14:paraId="31CD9159">
      <w:pPr>
        <w:spacing w:line="360" w:lineRule="auto"/>
        <w:ind w:firstLine="1285" w:firstLineChars="400"/>
        <w:rPr>
          <w:rFonts w:hint="eastAsia" w:ascii="宋体" w:hAnsi="宋体" w:cs="宋体"/>
          <w:b/>
          <w:bCs/>
          <w:color w:val="auto"/>
          <w:sz w:val="32"/>
          <w:szCs w:val="32"/>
          <w:highlight w:val="none"/>
        </w:rPr>
      </w:pPr>
    </w:p>
    <w:p w14:paraId="206476EE">
      <w:pPr>
        <w:spacing w:line="360" w:lineRule="auto"/>
        <w:jc w:val="center"/>
        <w:rPr>
          <w:rFonts w:hint="eastAsia" w:ascii="宋体" w:hAnsi="宋体" w:eastAsia="宋体" w:cs="宋体"/>
          <w:b/>
          <w:bCs/>
          <w:sz w:val="32"/>
          <w:szCs w:val="32"/>
          <w:highlight w:val="none"/>
          <w:lang w:val="en-US" w:eastAsia="zh-CN"/>
        </w:rPr>
      </w:pPr>
      <w:r>
        <w:rPr>
          <w:rFonts w:hint="eastAsia" w:ascii="宋体" w:hAnsi="宋体" w:cs="宋体"/>
          <w:b/>
          <w:bCs/>
          <w:sz w:val="32"/>
          <w:szCs w:val="32"/>
          <w:highlight w:val="none"/>
          <w:lang w:val="en-US" w:eastAsia="zh-CN"/>
        </w:rPr>
        <w:t>扶风县财政局</w:t>
      </w:r>
    </w:p>
    <w:p w14:paraId="55515972">
      <w:pPr>
        <w:spacing w:line="360" w:lineRule="auto"/>
        <w:jc w:val="center"/>
        <w:rPr>
          <w:rFonts w:hint="default" w:ascii="宋体" w:hAnsi="宋体" w:eastAsia="宋体" w:cs="宋体"/>
          <w:b/>
          <w:color w:val="auto"/>
          <w:sz w:val="32"/>
          <w:szCs w:val="32"/>
          <w:highlight w:val="none"/>
          <w:lang w:val="en-US"/>
        </w:rPr>
        <w:sectPr>
          <w:headerReference r:id="rId4" w:type="first"/>
          <w:footerReference r:id="rId6" w:type="first"/>
          <w:headerReference r:id="rId3" w:type="default"/>
          <w:footerReference r:id="rId5" w:type="default"/>
          <w:pgSz w:w="11906" w:h="16838"/>
          <w:pgMar w:top="1417" w:right="1531" w:bottom="1417" w:left="1701" w:header="851" w:footer="992" w:gutter="0"/>
          <w:pgBorders>
            <w:top w:val="none" w:sz="0" w:space="0"/>
            <w:left w:val="none" w:sz="0" w:space="0"/>
            <w:bottom w:val="none" w:sz="0" w:space="0"/>
            <w:right w:val="none" w:sz="0" w:space="0"/>
          </w:pgBorders>
          <w:pgNumType w:fmt="decimal"/>
          <w:cols w:space="720" w:num="1"/>
          <w:titlePg/>
          <w:rtlGutter w:val="0"/>
          <w:docGrid w:type="lines" w:linePitch="312" w:charSpace="0"/>
        </w:sectPr>
      </w:pPr>
      <w:r>
        <w:rPr>
          <w:rFonts w:hint="eastAsia" w:ascii="宋体" w:hAnsi="宋体" w:eastAsia="宋体" w:cs="宋体"/>
          <w:b/>
          <w:bCs/>
          <w:sz w:val="32"/>
          <w:szCs w:val="32"/>
          <w:highlight w:val="none"/>
          <w:lang w:val="en-US" w:eastAsia="zh-CN"/>
        </w:rPr>
        <w:t>202</w:t>
      </w:r>
      <w:r>
        <w:rPr>
          <w:rFonts w:hint="eastAsia" w:ascii="宋体" w:hAnsi="宋体" w:cs="宋体"/>
          <w:b/>
          <w:bCs/>
          <w:sz w:val="32"/>
          <w:szCs w:val="32"/>
          <w:highlight w:val="none"/>
          <w:lang w:val="en-US" w:eastAsia="zh-CN"/>
        </w:rPr>
        <w:t>5</w:t>
      </w:r>
      <w:r>
        <w:rPr>
          <w:rFonts w:hint="eastAsia" w:ascii="宋体" w:hAnsi="宋体" w:eastAsia="宋体" w:cs="宋体"/>
          <w:b/>
          <w:bCs/>
          <w:sz w:val="32"/>
          <w:szCs w:val="32"/>
          <w:highlight w:val="none"/>
          <w:lang w:val="en-US" w:eastAsia="zh-CN"/>
        </w:rPr>
        <w:t>年</w:t>
      </w:r>
      <w:r>
        <w:rPr>
          <w:rFonts w:hint="eastAsia" w:ascii="宋体" w:hAnsi="宋体" w:cs="宋体"/>
          <w:b/>
          <w:bCs/>
          <w:sz w:val="32"/>
          <w:szCs w:val="32"/>
          <w:highlight w:val="none"/>
          <w:lang w:val="en-US" w:eastAsia="zh-CN"/>
        </w:rPr>
        <w:t>7</w:t>
      </w:r>
      <w:r>
        <w:rPr>
          <w:rFonts w:hint="eastAsia" w:ascii="宋体" w:hAnsi="宋体" w:eastAsia="宋体" w:cs="宋体"/>
          <w:b/>
          <w:bCs/>
          <w:sz w:val="32"/>
          <w:szCs w:val="32"/>
          <w:highlight w:val="none"/>
          <w:lang w:val="en-US" w:eastAsia="zh-CN"/>
        </w:rPr>
        <w:t>月</w:t>
      </w:r>
      <w:r>
        <w:rPr>
          <w:rFonts w:hint="eastAsia" w:ascii="宋体" w:hAnsi="宋体" w:cs="宋体"/>
          <w:b/>
          <w:bCs/>
          <w:sz w:val="32"/>
          <w:szCs w:val="32"/>
          <w:highlight w:val="none"/>
          <w:lang w:val="en-US" w:eastAsia="zh-CN"/>
        </w:rPr>
        <w:t>16</w:t>
      </w:r>
      <w:r>
        <w:rPr>
          <w:rFonts w:hint="eastAsia" w:ascii="宋体" w:hAnsi="宋体" w:eastAsia="宋体" w:cs="宋体"/>
          <w:b/>
          <w:bCs/>
          <w:sz w:val="32"/>
          <w:szCs w:val="32"/>
          <w:highlight w:val="none"/>
          <w:lang w:val="en-US" w:eastAsia="zh-CN"/>
        </w:rPr>
        <w:t>日</w:t>
      </w:r>
    </w:p>
    <w:p w14:paraId="4BE64E6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p>
    <w:p w14:paraId="265B048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 xml:space="preserve"> 2024年</w:t>
      </w:r>
      <w:bookmarkStart w:id="0" w:name="OLE_LINK1"/>
      <w:r>
        <w:rPr>
          <w:rFonts w:hint="eastAsia" w:ascii="方正小标宋简体" w:hAnsi="方正小标宋简体" w:eastAsia="方正小标宋简体" w:cs="方正小标宋简体"/>
          <w:b w:val="0"/>
          <w:bCs/>
          <w:sz w:val="44"/>
          <w:szCs w:val="44"/>
          <w:lang w:val="en-US" w:eastAsia="zh-CN"/>
        </w:rPr>
        <w:t>宝鸡峡渭高干渠</w:t>
      </w:r>
      <w:bookmarkEnd w:id="0"/>
      <w:r>
        <w:rPr>
          <w:rFonts w:hint="eastAsia" w:ascii="方正小标宋简体" w:hAnsi="方正小标宋简体" w:eastAsia="方正小标宋简体" w:cs="方正小标宋简体"/>
          <w:b w:val="0"/>
          <w:bCs/>
          <w:sz w:val="44"/>
          <w:szCs w:val="44"/>
          <w:lang w:val="en-US" w:eastAsia="zh-CN"/>
        </w:rPr>
        <w:t>凤鸣中坡段排险</w:t>
      </w:r>
    </w:p>
    <w:p w14:paraId="4701714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除患经费项目绩效评价报告</w:t>
      </w:r>
    </w:p>
    <w:p w14:paraId="5A1B8133">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仿宋_GB2312" w:hAnsi="仿宋_GB2312" w:eastAsia="仿宋_GB2312" w:cs="仿宋_GB2312"/>
          <w:color w:val="auto"/>
          <w:sz w:val="32"/>
          <w:szCs w:val="32"/>
          <w:highlight w:val="none"/>
          <w:lang w:val="en-US" w:eastAsia="zh-CN"/>
        </w:rPr>
      </w:pPr>
    </w:p>
    <w:p w14:paraId="5EDE22CC">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扶风县绛帐镇人民政府</w:t>
      </w:r>
      <w:r>
        <w:rPr>
          <w:rFonts w:hint="eastAsia" w:ascii="仿宋_GB2312" w:hAnsi="仿宋_GB2312" w:eastAsia="仿宋_GB2312" w:cs="仿宋_GB2312"/>
          <w:color w:val="auto"/>
          <w:sz w:val="32"/>
          <w:szCs w:val="32"/>
          <w:highlight w:val="none"/>
        </w:rPr>
        <w:t>：</w:t>
      </w:r>
    </w:p>
    <w:p w14:paraId="3722E694">
      <w:pPr>
        <w:pStyle w:val="9"/>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sz w:val="32"/>
          <w:szCs w:val="32"/>
          <w:highlight w:val="none"/>
        </w:rPr>
      </w:pPr>
      <w:bookmarkStart w:id="1" w:name="_Toc206309462"/>
      <w:r>
        <w:rPr>
          <w:rFonts w:hint="eastAsia" w:ascii="仿宋_GB2312" w:hAnsi="仿宋_GB2312" w:eastAsia="仿宋_GB2312" w:cs="仿宋_GB2312"/>
          <w:bCs/>
          <w:sz w:val="32"/>
          <w:szCs w:val="32"/>
          <w:highlight w:val="none"/>
          <w:lang w:val="en-US" w:eastAsia="zh-CN"/>
        </w:rPr>
        <w:t>为深入贯彻落实党中央和省、市全面实施预算绩效管理的部署要求，加强财政支出管理，提高财政资金使用效益，根据财政部《关于印发〈项目支出绩效评价管理办法〉的通知》（财预〔2020〕10号）、宝鸡市财政局《宝鸡市加快实现预算绩效管理改革目标行动方案》（宝市财办检〔2021〕16号）、</w:t>
      </w:r>
      <w:r>
        <w:rPr>
          <w:rFonts w:hint="eastAsia" w:ascii="仿宋_GB2312" w:hAnsi="仿宋_GB2312" w:eastAsia="仿宋_GB2312" w:cs="仿宋_GB2312"/>
          <w:bCs/>
          <w:color w:val="auto"/>
          <w:sz w:val="32"/>
          <w:szCs w:val="32"/>
          <w:highlight w:val="none"/>
          <w:lang w:val="en-US" w:eastAsia="zh-CN"/>
        </w:rPr>
        <w:t>扶风县财政局《关于开展2024年度事后财政重点项目及部门整体支出绩效评价工作的通知》（扶财办绩〔2025〕5号）</w:t>
      </w:r>
      <w:r>
        <w:rPr>
          <w:rFonts w:hint="eastAsia" w:ascii="仿宋_GB2312" w:hAnsi="仿宋_GB2312" w:eastAsia="仿宋_GB2312" w:cs="仿宋_GB2312"/>
          <w:bCs/>
          <w:sz w:val="32"/>
          <w:szCs w:val="32"/>
          <w:highlight w:val="none"/>
          <w:lang w:val="en-US" w:eastAsia="zh-CN"/>
        </w:rPr>
        <w:t>等相关文件要求，</w:t>
      </w:r>
      <w:r>
        <w:rPr>
          <w:rFonts w:hint="eastAsia" w:ascii="仿宋_GB2312" w:hAnsi="仿宋_GB2312" w:eastAsia="仿宋_GB2312" w:cs="仿宋_GB2312"/>
          <w:color w:val="auto"/>
          <w:kern w:val="2"/>
          <w:sz w:val="32"/>
          <w:szCs w:val="32"/>
          <w:highlight w:val="none"/>
          <w:lang w:val="en-US" w:eastAsia="zh-CN" w:bidi="ar-SA"/>
        </w:rPr>
        <w:t>我局立即成立绩效评价工作小组</w:t>
      </w:r>
      <w:r>
        <w:rPr>
          <w:rFonts w:hint="eastAsia" w:ascii="仿宋_GB2312" w:hAnsi="仿宋_GB2312" w:eastAsia="仿宋_GB2312" w:cs="仿宋_GB2312"/>
          <w:bCs/>
          <w:sz w:val="32"/>
          <w:szCs w:val="32"/>
          <w:highlight w:val="none"/>
          <w:lang w:val="en-US" w:eastAsia="zh-CN"/>
        </w:rPr>
        <w:t>深入项目实施单位，通过座谈交流、查阅资料、现场查看、</w:t>
      </w:r>
      <w:r>
        <w:rPr>
          <w:rFonts w:hint="eastAsia" w:ascii="仿宋_GB2312" w:hAnsi="仿宋_GB2312" w:eastAsia="仿宋_GB2312" w:cs="仿宋_GB2312"/>
          <w:bCs/>
          <w:color w:val="auto"/>
          <w:sz w:val="32"/>
          <w:szCs w:val="32"/>
          <w:highlight w:val="none"/>
          <w:lang w:val="en-US" w:eastAsia="zh-CN"/>
        </w:rPr>
        <w:t>问卷调查、查询账务系统、对比分析、综合研判等方式，在项目单位自评的基础上，遵循科学、规范、客观、公正的原则，对</w:t>
      </w:r>
      <w:r>
        <w:rPr>
          <w:rFonts w:hint="eastAsia" w:ascii="仿宋_GB2312" w:hAnsi="仿宋_GB2312" w:eastAsia="仿宋_GB2312" w:cs="仿宋_GB2312"/>
          <w:color w:val="auto"/>
          <w:kern w:val="0"/>
          <w:sz w:val="32"/>
          <w:szCs w:val="32"/>
          <w:highlight w:val="none"/>
          <w:lang w:val="en-US" w:eastAsia="zh-CN"/>
        </w:rPr>
        <w:t>2024年宝鸡峡渭高干渠凤鸣中坡段排险除患经费项目</w:t>
      </w:r>
      <w:r>
        <w:rPr>
          <w:rFonts w:hint="eastAsia" w:ascii="仿宋_GB2312" w:hAnsi="仿宋_GB2312" w:eastAsia="仿宋_GB2312" w:cs="仿宋_GB2312"/>
          <w:bCs/>
          <w:color w:val="auto"/>
          <w:sz w:val="32"/>
          <w:szCs w:val="32"/>
          <w:highlight w:val="none"/>
          <w:lang w:val="en-US" w:eastAsia="zh-CN"/>
        </w:rPr>
        <w:t>开展了绩效评价</w:t>
      </w:r>
      <w:r>
        <w:rPr>
          <w:rFonts w:hint="eastAsia" w:ascii="仿宋_GB2312" w:hAnsi="仿宋_GB2312" w:eastAsia="仿宋_GB2312" w:cs="仿宋_GB2312"/>
          <w:bCs/>
          <w:sz w:val="32"/>
          <w:szCs w:val="32"/>
          <w:highlight w:val="none"/>
          <w:lang w:val="en-US" w:eastAsia="zh-CN"/>
        </w:rPr>
        <w:t>。现将评价情况报告如下</w:t>
      </w:r>
      <w:r>
        <w:rPr>
          <w:rFonts w:hint="eastAsia" w:ascii="仿宋_GB2312" w:hAnsi="仿宋_GB2312" w:eastAsia="仿宋_GB2312" w:cs="仿宋_GB2312"/>
          <w:color w:val="auto"/>
          <w:sz w:val="32"/>
          <w:szCs w:val="32"/>
          <w:highlight w:val="none"/>
        </w:rPr>
        <w:t>：</w:t>
      </w:r>
    </w:p>
    <w:p w14:paraId="3E78DBA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黑体" w:hAnsi="黑体" w:eastAsia="黑体" w:cs="黑体"/>
          <w:b w:val="0"/>
          <w:bCs w:val="0"/>
          <w:color w:val="auto"/>
          <w:sz w:val="32"/>
          <w:szCs w:val="32"/>
          <w:highlight w:val="none"/>
          <w:lang w:val="en-US" w:eastAsia="zh-CN"/>
        </w:rPr>
      </w:pPr>
      <w:r>
        <w:rPr>
          <w:rFonts w:hint="eastAsia" w:ascii="黑体" w:hAnsi="黑体" w:eastAsia="黑体" w:cs="黑体"/>
          <w:b w:val="0"/>
          <w:bCs w:val="0"/>
          <w:color w:val="auto"/>
          <w:sz w:val="32"/>
          <w:szCs w:val="32"/>
          <w:highlight w:val="none"/>
          <w:lang w:val="en-US" w:eastAsia="zh-CN"/>
        </w:rPr>
        <w:t>一、项目概况</w:t>
      </w:r>
    </w:p>
    <w:p w14:paraId="450537B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b/>
          <w:bCs/>
          <w:spacing w:val="3"/>
          <w:sz w:val="25"/>
          <w:szCs w:val="25"/>
        </w:rPr>
      </w:pPr>
      <w:r>
        <w:rPr>
          <w:rFonts w:hint="eastAsia" w:ascii="楷体" w:hAnsi="楷体" w:eastAsia="楷体" w:cs="楷体"/>
          <w:b/>
          <w:bCs/>
          <w:color w:val="auto"/>
          <w:sz w:val="32"/>
          <w:szCs w:val="32"/>
          <w:highlight w:val="none"/>
          <w:lang w:val="en-US" w:eastAsia="zh-CN"/>
        </w:rPr>
        <w:t>（一）项目背景</w:t>
      </w:r>
    </w:p>
    <w:p w14:paraId="4C57BCD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宝鸡峡是陕西省最大的引渭灌溉工程，始建于1958年，1974年竣工。主体工程包括林家村渠首枢纽、98公里塬边渠道和湋水倒虹等，形成渠库联调体系，年均引水量约5亿立方米，灌溉覆盖宝鸡、咸阳、西安等4市14县291.56万亩农田，占全省七分之一粮食产量。</w:t>
      </w:r>
    </w:p>
    <w:p w14:paraId="7FE2F280">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eastAsia"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bidi="ar-SA"/>
        </w:rPr>
        <w:t xml:space="preserve">宝鸡峡渭高干渠是陕西省宝鸡峡灌区的重要组成部分，属于宝鸡峡引渭灌溉工程的分支。该干渠始建1958年，1971年与渭惠渠、宝鸡峡引渭灌区合为陕西最大灌区。渭高干渠是宝鸡峡引渭灌溉工程的核心组成部分，承担着向咸阳 、宝鸡两市13个县（区）的170万亩农田供水任务。 </w:t>
      </w:r>
      <w:r>
        <w:rPr>
          <w:rFonts w:hint="eastAsia"/>
          <w:lang w:val="en-US" w:eastAsia="zh-CN"/>
        </w:rPr>
        <w:t>‌</w:t>
      </w:r>
    </w:p>
    <w:p w14:paraId="2E032ED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0"/>
          <w:sz w:val="32"/>
          <w:szCs w:val="32"/>
          <w:highlight w:val="none"/>
          <w:lang w:val="en-US" w:eastAsia="zh-CN" w:bidi="ar-SA"/>
        </w:rPr>
        <w:t>2023年9月26日晚，受接连多日阴雨天气影响，导致绛帐镇凤鸣村中坡四组沿宝鸡峡渭高干渠道居住的4户农户后院发生塌陷，34户后院出现不同程度的安全隐患。为保障沿宝鸡峡渭高干渠沿岸农户生命财产安全，拟对该隐患地段进行排险除患。项目旨在通过科学、规范的房屋拆除、环境清理及灾后恢复建设，消除安全隐患，改善受灾群众居住条件。</w:t>
      </w:r>
    </w:p>
    <w:p w14:paraId="03C79FC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color w:val="auto"/>
          <w:sz w:val="32"/>
          <w:szCs w:val="32"/>
          <w:highlight w:val="none"/>
          <w:lang w:val="en-US" w:eastAsia="zh-CN"/>
        </w:rPr>
        <w:t>（二）项目基本情况</w:t>
      </w:r>
    </w:p>
    <w:p w14:paraId="44909EDC">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spacing w:val="-6"/>
          <w:kern w:val="2"/>
          <w:sz w:val="32"/>
          <w:szCs w:val="32"/>
          <w:highlight w:val="none"/>
          <w:lang w:val="zh-CN"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eastAsia" w:ascii="仿宋_GB2312" w:hAnsi="仿宋_GB2312" w:eastAsia="仿宋_GB2312" w:cs="仿宋_GB2312"/>
          <w:color w:val="auto"/>
          <w:kern w:val="2"/>
          <w:sz w:val="32"/>
          <w:szCs w:val="32"/>
          <w:highlight w:val="none"/>
          <w:lang w:val="zh-CN" w:eastAsia="zh-CN" w:bidi="ar-SA"/>
        </w:rPr>
        <w:t>项目名称：</w:t>
      </w:r>
      <w:r>
        <w:rPr>
          <w:rFonts w:hint="eastAsia" w:ascii="仿宋_GB2312" w:hAnsi="仿宋_GB2312" w:eastAsia="仿宋_GB2312" w:cs="仿宋_GB2312"/>
          <w:color w:val="auto"/>
          <w:spacing w:val="-6"/>
          <w:kern w:val="2"/>
          <w:sz w:val="32"/>
          <w:szCs w:val="32"/>
          <w:highlight w:val="none"/>
          <w:lang w:val="en-US" w:eastAsia="zh-CN" w:bidi="ar-SA"/>
        </w:rPr>
        <w:t>2024年宝鸡峡渭高干渠凤鸣中坡段排险除患经费项目</w:t>
      </w:r>
    </w:p>
    <w:p w14:paraId="2D9AE30E">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2.主管部门：扶风县绛帐镇人民政府</w:t>
      </w:r>
    </w:p>
    <w:p w14:paraId="5E0AC3D2">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3.实施单位：陕西省宝鸡市扶风县绛帐镇凤鸣村民委员会</w:t>
      </w:r>
    </w:p>
    <w:p w14:paraId="7A1FEA44">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0"/>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4.建设地点：扶风县绛帐镇凤鸣村</w:t>
      </w:r>
      <w:r>
        <w:rPr>
          <w:rFonts w:hint="eastAsia" w:ascii="仿宋_GB2312" w:hAnsi="仿宋_GB2312" w:eastAsia="仿宋_GB2312" w:cs="仿宋_GB2312"/>
          <w:color w:val="auto"/>
          <w:kern w:val="0"/>
          <w:sz w:val="32"/>
          <w:szCs w:val="32"/>
          <w:highlight w:val="none"/>
          <w:lang w:val="en-US" w:eastAsia="zh-CN" w:bidi="ar-SA"/>
        </w:rPr>
        <w:t>四组</w:t>
      </w:r>
    </w:p>
    <w:p w14:paraId="5865536E">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项目建设内容和规模：（1）拆除工作：完成38户房屋及附属设施拆除，拆除房屋76间（1140平方米）、厕所38间（570平方米），妥善处理农用饮水管道、太阳能热水器等设施设备拆除。（2）恢复建设：完成后围墙砌筑360米、农户界墙砌筑152米，硬化农户后院地面800平方米，扩宽道路170平方米，铺设农户集中排污管道360米。</w:t>
      </w:r>
    </w:p>
    <w:p w14:paraId="53C982EB">
      <w:pPr>
        <w:keepNext w:val="0"/>
        <w:keepLines w:val="0"/>
        <w:pageBreakBefore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0000FF"/>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6.计划建设期限：2023年10月-2024年4月</w:t>
      </w:r>
    </w:p>
    <w:p w14:paraId="4BDFC807">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7.财政预算资金：38.00万元</w:t>
      </w:r>
    </w:p>
    <w:p w14:paraId="4C86959F">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8.资金来源：地方财政资金</w:t>
      </w:r>
    </w:p>
    <w:p w14:paraId="1CBD328F">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9.预期效益及作用：通过项目实施,可消除垮塌地段的安全隐患，保障周边群众的生命财产安全，改善区域居住环境，提升群众生活便利性，为群众创造更加舒适、安全的居住条件，增强群众的幸福感和获得感。同时可有效改善区域污水排放状况，减少污水对土壤和水体的污染，保护生态环境。对于加速扶风县及绛帐镇的建设和发展，进一步改善当地的投资环境，促进区域经济社会高质量发展具有重要的作用和意义。</w:t>
      </w:r>
    </w:p>
    <w:p w14:paraId="7D2E75E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color w:val="auto"/>
          <w:kern w:val="2"/>
          <w:sz w:val="32"/>
          <w:szCs w:val="32"/>
          <w:highlight w:val="none"/>
          <w:lang w:val="en-US" w:eastAsia="zh-CN" w:bidi="ar-SA"/>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rPr>
        <w:t>安排情况</w:t>
      </w:r>
    </w:p>
    <w:p w14:paraId="785AC08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1.项目资金预算情况</w:t>
      </w:r>
    </w:p>
    <w:p w14:paraId="0D65834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2024年7月14日，扶风县财政局以部门预算（扶财办预〔2024〕206号）文件安排一般公共预算资金38.00万元，详见表1。</w:t>
      </w:r>
    </w:p>
    <w:p w14:paraId="16CC9B1F">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               表1  项目资金预算情况表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21"/>
          <w:szCs w:val="21"/>
          <w:highlight w:val="none"/>
          <w:lang w:val="en-US" w:eastAsia="zh-CN"/>
        </w:rPr>
        <w:t xml:space="preserve">        </w:t>
      </w:r>
      <w:r>
        <w:rPr>
          <w:rFonts w:hint="eastAsia" w:ascii="仿宋_GB2312" w:hAnsi="仿宋_GB2312" w:eastAsia="仿宋_GB2312" w:cs="仿宋_GB2312"/>
          <w:b/>
          <w:bCs/>
          <w:color w:val="auto"/>
          <w:sz w:val="21"/>
          <w:szCs w:val="21"/>
          <w:highlight w:val="none"/>
          <w:lang w:val="en-US" w:eastAsia="zh-CN"/>
        </w:rPr>
        <w:t xml:space="preserve">  单位：万元</w:t>
      </w:r>
    </w:p>
    <w:tbl>
      <w:tblPr>
        <w:tblStyle w:val="16"/>
        <w:tblpPr w:leftFromText="181" w:rightFromText="181" w:vertAnchor="text" w:horzAnchor="page" w:tblpX="1668" w:tblpY="114"/>
        <w:tblOverlap w:val="never"/>
        <w:tblW w:w="8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790"/>
        <w:gridCol w:w="1724"/>
        <w:gridCol w:w="2561"/>
        <w:gridCol w:w="1126"/>
      </w:tblGrid>
      <w:tr w14:paraId="60564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658" w:type="dxa"/>
            <w:tcBorders>
              <w:left w:val="nil"/>
              <w:bottom w:val="single" w:color="auto" w:sz="4" w:space="0"/>
              <w:right w:val="single" w:color="auto" w:sz="4" w:space="0"/>
            </w:tcBorders>
            <w:shd w:val="clear" w:color="auto" w:fill="D7D7D7"/>
            <w:noWrap w:val="0"/>
            <w:vAlign w:val="center"/>
          </w:tcPr>
          <w:p w14:paraId="2BF7252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2790" w:type="dxa"/>
            <w:tcBorders>
              <w:left w:val="single" w:color="auto" w:sz="4" w:space="0"/>
              <w:bottom w:val="single" w:color="auto" w:sz="4" w:space="0"/>
              <w:right w:val="single" w:color="000000" w:sz="4" w:space="0"/>
            </w:tcBorders>
            <w:shd w:val="clear" w:color="auto" w:fill="D7D7D7"/>
            <w:noWrap w:val="0"/>
            <w:vAlign w:val="center"/>
          </w:tcPr>
          <w:p w14:paraId="23E5946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项目名称</w:t>
            </w:r>
          </w:p>
        </w:tc>
        <w:tc>
          <w:tcPr>
            <w:tcW w:w="1724" w:type="dxa"/>
            <w:tcBorders>
              <w:left w:val="single" w:color="000000" w:sz="4" w:space="0"/>
              <w:bottom w:val="single" w:color="auto" w:sz="4" w:space="0"/>
              <w:right w:val="single" w:color="auto" w:sz="4" w:space="0"/>
            </w:tcBorders>
            <w:shd w:val="clear" w:color="auto" w:fill="D7D7D7"/>
            <w:noWrap w:val="0"/>
            <w:vAlign w:val="center"/>
          </w:tcPr>
          <w:p w14:paraId="19D9ED8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预算资金</w:t>
            </w:r>
          </w:p>
        </w:tc>
        <w:tc>
          <w:tcPr>
            <w:tcW w:w="2561" w:type="dxa"/>
            <w:tcBorders>
              <w:left w:val="single" w:color="auto" w:sz="4" w:space="0"/>
              <w:bottom w:val="single" w:color="auto" w:sz="4" w:space="0"/>
              <w:right w:val="nil"/>
            </w:tcBorders>
            <w:shd w:val="clear" w:color="auto" w:fill="D7D7D7"/>
            <w:noWrap w:val="0"/>
            <w:vAlign w:val="center"/>
          </w:tcPr>
          <w:p w14:paraId="1E09E8F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批复文号</w:t>
            </w:r>
          </w:p>
        </w:tc>
        <w:tc>
          <w:tcPr>
            <w:tcW w:w="1126" w:type="dxa"/>
            <w:tcBorders>
              <w:left w:val="single" w:color="auto" w:sz="4" w:space="0"/>
              <w:bottom w:val="single" w:color="auto" w:sz="4" w:space="0"/>
              <w:right w:val="nil"/>
            </w:tcBorders>
            <w:shd w:val="clear" w:color="auto" w:fill="D7D7D7"/>
            <w:noWrap w:val="0"/>
            <w:vAlign w:val="center"/>
          </w:tcPr>
          <w:p w14:paraId="3264794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kern w:val="2"/>
                <w:sz w:val="21"/>
                <w:szCs w:val="21"/>
                <w:highlight w:val="none"/>
                <w:vertAlign w:val="baseline"/>
                <w:lang w:val="en-US" w:eastAsia="zh-CN" w:bidi="ar-SA"/>
              </w:rPr>
              <w:t>备注</w:t>
            </w:r>
          </w:p>
        </w:tc>
      </w:tr>
      <w:tr w14:paraId="758F7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rPr>
        <w:tc>
          <w:tcPr>
            <w:tcW w:w="658" w:type="dxa"/>
            <w:tcBorders>
              <w:top w:val="single" w:color="auto" w:sz="4" w:space="0"/>
              <w:left w:val="nil"/>
              <w:right w:val="single" w:color="auto" w:sz="4" w:space="0"/>
            </w:tcBorders>
            <w:noWrap w:val="0"/>
            <w:vAlign w:val="center"/>
          </w:tcPr>
          <w:p w14:paraId="41E0E958">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2790" w:type="dxa"/>
            <w:tcBorders>
              <w:top w:val="single" w:color="auto" w:sz="4" w:space="0"/>
              <w:left w:val="single" w:color="auto" w:sz="4" w:space="0"/>
              <w:right w:val="single" w:color="000000" w:sz="4" w:space="0"/>
            </w:tcBorders>
            <w:noWrap w:val="0"/>
            <w:vAlign w:val="center"/>
          </w:tcPr>
          <w:p w14:paraId="3126B73C">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sz w:val="21"/>
                <w:szCs w:val="21"/>
                <w:lang w:eastAsia="zh-CN"/>
              </w:rPr>
              <w:t>宝鸡峡渭高干渠凤鸣中坡段排险除患经费项目</w:t>
            </w:r>
          </w:p>
        </w:tc>
        <w:tc>
          <w:tcPr>
            <w:tcW w:w="1724" w:type="dxa"/>
            <w:tcBorders>
              <w:top w:val="single" w:color="auto" w:sz="4" w:space="0"/>
              <w:left w:val="single" w:color="000000" w:sz="4" w:space="0"/>
              <w:bottom w:val="single" w:color="auto" w:sz="4" w:space="0"/>
              <w:right w:val="single" w:color="auto" w:sz="4" w:space="0"/>
            </w:tcBorders>
            <w:noWrap w:val="0"/>
            <w:vAlign w:val="center"/>
          </w:tcPr>
          <w:p w14:paraId="00895D5C">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38.00</w:t>
            </w:r>
          </w:p>
        </w:tc>
        <w:tc>
          <w:tcPr>
            <w:tcW w:w="2561" w:type="dxa"/>
            <w:tcBorders>
              <w:top w:val="single" w:color="auto" w:sz="4" w:space="0"/>
              <w:left w:val="single" w:color="auto" w:sz="4" w:space="0"/>
              <w:bottom w:val="single" w:color="auto" w:sz="4" w:space="0"/>
              <w:right w:val="nil"/>
            </w:tcBorders>
            <w:noWrap w:val="0"/>
            <w:vAlign w:val="center"/>
          </w:tcPr>
          <w:p w14:paraId="0E806CF3">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扶财办预〔2024〕206号</w:t>
            </w:r>
          </w:p>
        </w:tc>
        <w:tc>
          <w:tcPr>
            <w:tcW w:w="1126" w:type="dxa"/>
            <w:tcBorders>
              <w:top w:val="single" w:color="auto" w:sz="4" w:space="0"/>
              <w:left w:val="single" w:color="auto" w:sz="4" w:space="0"/>
              <w:right w:val="nil"/>
            </w:tcBorders>
            <w:noWrap w:val="0"/>
            <w:vAlign w:val="center"/>
          </w:tcPr>
          <w:p w14:paraId="7660D619">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2B6A3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429525A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合计</w:t>
            </w:r>
          </w:p>
        </w:tc>
        <w:tc>
          <w:tcPr>
            <w:tcW w:w="2790"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69A3FC4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1724" w:type="dxa"/>
            <w:tcBorders>
              <w:top w:val="single" w:color="auto" w:sz="4" w:space="0"/>
              <w:left w:val="single" w:color="000000" w:sz="4" w:space="0"/>
              <w:bottom w:val="single" w:color="auto" w:sz="4" w:space="0"/>
              <w:right w:val="single" w:color="auto" w:sz="4" w:space="0"/>
            </w:tcBorders>
            <w:noWrap w:val="0"/>
            <w:vAlign w:val="center"/>
          </w:tcPr>
          <w:p w14:paraId="2BADE33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38.00</w:t>
            </w:r>
          </w:p>
        </w:tc>
        <w:tc>
          <w:tcPr>
            <w:tcW w:w="2561" w:type="dxa"/>
            <w:tcBorders>
              <w:top w:val="single" w:color="auto" w:sz="4" w:space="0"/>
              <w:left w:val="single" w:color="auto" w:sz="4" w:space="0"/>
              <w:bottom w:val="single" w:color="auto" w:sz="4" w:space="0"/>
              <w:right w:val="nil"/>
            </w:tcBorders>
            <w:noWrap w:val="0"/>
            <w:vAlign w:val="center"/>
          </w:tcPr>
          <w:p w14:paraId="5C1CF889">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1126" w:type="dxa"/>
            <w:tcBorders>
              <w:top w:val="single" w:color="auto" w:sz="4" w:space="0"/>
              <w:left w:val="single" w:color="auto" w:sz="4" w:space="0"/>
              <w:bottom w:val="single" w:color="auto" w:sz="4" w:space="0"/>
              <w:right w:val="nil"/>
            </w:tcBorders>
            <w:noWrap w:val="0"/>
            <w:vAlign w:val="center"/>
          </w:tcPr>
          <w:p w14:paraId="3D06A50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r>
    </w:tbl>
    <w:p w14:paraId="79EAC31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2.项目资金到位情况</w:t>
      </w:r>
    </w:p>
    <w:p w14:paraId="2CDFDCD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该项目共拨付到位资金38.00万元，预算资金到位率100%，详见表2。</w:t>
      </w:r>
    </w:p>
    <w:p w14:paraId="16849412">
      <w:pPr>
        <w:keepNext w:val="0"/>
        <w:keepLines w:val="0"/>
        <w:pageBreakBefore w:val="0"/>
        <w:widowControl w:val="0"/>
        <w:kinsoku/>
        <w:wordWrap/>
        <w:overflowPunct/>
        <w:topLinePunct w:val="0"/>
        <w:autoSpaceDE/>
        <w:autoSpaceDN/>
        <w:bidi w:val="0"/>
        <w:adjustRightInd/>
        <w:snapToGrid/>
        <w:spacing w:line="560" w:lineRule="exact"/>
        <w:ind w:left="7590" w:hanging="7641" w:hangingChars="2700"/>
        <w:jc w:val="center"/>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表2   项目资金到位情况表</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21"/>
          <w:szCs w:val="21"/>
          <w:highlight w:val="none"/>
          <w:lang w:val="en-US" w:eastAsia="zh-CN"/>
        </w:rPr>
        <w:t xml:space="preserve">   </w:t>
      </w:r>
      <w:r>
        <w:rPr>
          <w:rFonts w:hint="eastAsia" w:ascii="仿宋_GB2312" w:hAnsi="仿宋_GB2312" w:eastAsia="仿宋_GB2312" w:cs="仿宋_GB2312"/>
          <w:b/>
          <w:bCs/>
          <w:color w:val="auto"/>
          <w:sz w:val="21"/>
          <w:szCs w:val="21"/>
          <w:highlight w:val="none"/>
          <w:lang w:val="en-US" w:eastAsia="zh-CN"/>
        </w:rPr>
        <w:t>单位：万元</w:t>
      </w:r>
    </w:p>
    <w:tbl>
      <w:tblPr>
        <w:tblStyle w:val="16"/>
        <w:tblpPr w:leftFromText="181" w:rightFromText="181" w:vertAnchor="text" w:horzAnchor="page" w:tblpX="1668" w:tblpY="114"/>
        <w:tblOverlap w:val="never"/>
        <w:tblW w:w="88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2242"/>
        <w:gridCol w:w="1527"/>
        <w:gridCol w:w="1472"/>
        <w:gridCol w:w="2300"/>
        <w:gridCol w:w="700"/>
      </w:tblGrid>
      <w:tr w14:paraId="2E217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658" w:type="dxa"/>
            <w:tcBorders>
              <w:left w:val="nil"/>
              <w:bottom w:val="single" w:color="auto" w:sz="4" w:space="0"/>
              <w:right w:val="single" w:color="auto" w:sz="4" w:space="0"/>
            </w:tcBorders>
            <w:shd w:val="clear" w:color="auto" w:fill="D7D7D7"/>
            <w:noWrap w:val="0"/>
            <w:vAlign w:val="center"/>
          </w:tcPr>
          <w:p w14:paraId="68C4A4C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序号</w:t>
            </w:r>
          </w:p>
        </w:tc>
        <w:tc>
          <w:tcPr>
            <w:tcW w:w="2242" w:type="dxa"/>
            <w:tcBorders>
              <w:left w:val="single" w:color="auto" w:sz="4" w:space="0"/>
              <w:bottom w:val="single" w:color="auto" w:sz="4" w:space="0"/>
              <w:right w:val="single" w:color="000000" w:sz="4" w:space="0"/>
            </w:tcBorders>
            <w:shd w:val="clear" w:color="auto" w:fill="D7D7D7"/>
            <w:noWrap w:val="0"/>
            <w:vAlign w:val="center"/>
          </w:tcPr>
          <w:p w14:paraId="0579C56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项目名称</w:t>
            </w:r>
          </w:p>
        </w:tc>
        <w:tc>
          <w:tcPr>
            <w:tcW w:w="1527" w:type="dxa"/>
            <w:tcBorders>
              <w:left w:val="single" w:color="000000" w:sz="4" w:space="0"/>
              <w:bottom w:val="single" w:color="auto" w:sz="4" w:space="0"/>
              <w:right w:val="single" w:color="auto" w:sz="4" w:space="0"/>
            </w:tcBorders>
            <w:shd w:val="clear" w:color="auto" w:fill="D7D7D7"/>
            <w:noWrap w:val="0"/>
            <w:vAlign w:val="center"/>
          </w:tcPr>
          <w:p w14:paraId="65E65BF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预算资金</w:t>
            </w:r>
          </w:p>
        </w:tc>
        <w:tc>
          <w:tcPr>
            <w:tcW w:w="1472" w:type="dxa"/>
            <w:tcBorders>
              <w:left w:val="single" w:color="auto" w:sz="4" w:space="0"/>
              <w:bottom w:val="single" w:color="auto" w:sz="4" w:space="0"/>
              <w:right w:val="nil"/>
            </w:tcBorders>
            <w:shd w:val="clear" w:color="auto" w:fill="D7D7D7"/>
            <w:noWrap w:val="0"/>
            <w:vAlign w:val="center"/>
          </w:tcPr>
          <w:p w14:paraId="37A0E20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到位资金</w:t>
            </w:r>
          </w:p>
        </w:tc>
        <w:tc>
          <w:tcPr>
            <w:tcW w:w="2300" w:type="dxa"/>
            <w:tcBorders>
              <w:left w:val="single" w:color="auto" w:sz="4" w:space="0"/>
              <w:bottom w:val="single" w:color="auto" w:sz="4" w:space="0"/>
              <w:right w:val="nil"/>
            </w:tcBorders>
            <w:shd w:val="clear" w:color="auto" w:fill="D7D7D7"/>
            <w:noWrap w:val="0"/>
            <w:vAlign w:val="center"/>
          </w:tcPr>
          <w:p w14:paraId="593BC43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sz w:val="21"/>
                <w:szCs w:val="21"/>
                <w:highlight w:val="none"/>
                <w:vertAlign w:val="baseline"/>
                <w:lang w:val="en-US" w:eastAsia="zh-CN"/>
              </w:rPr>
              <w:t>到位日期</w:t>
            </w:r>
          </w:p>
        </w:tc>
        <w:tc>
          <w:tcPr>
            <w:tcW w:w="700" w:type="dxa"/>
            <w:tcBorders>
              <w:left w:val="single" w:color="auto" w:sz="4" w:space="0"/>
              <w:bottom w:val="single" w:color="auto" w:sz="4" w:space="0"/>
              <w:right w:val="nil"/>
            </w:tcBorders>
            <w:shd w:val="clear" w:color="auto" w:fill="D7D7D7"/>
            <w:noWrap w:val="0"/>
            <w:vAlign w:val="center"/>
          </w:tcPr>
          <w:p w14:paraId="449BCBE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highlight w:val="none"/>
                <w:vertAlign w:val="baseline"/>
                <w:lang w:val="en-US" w:eastAsia="zh-CN"/>
              </w:rPr>
            </w:pPr>
            <w:r>
              <w:rPr>
                <w:rFonts w:hint="eastAsia" w:ascii="仿宋_GB2312" w:hAnsi="仿宋_GB2312" w:eastAsia="仿宋_GB2312" w:cs="仿宋_GB2312"/>
                <w:b/>
                <w:bCs/>
                <w:color w:val="auto"/>
                <w:kern w:val="2"/>
                <w:sz w:val="21"/>
                <w:szCs w:val="21"/>
                <w:highlight w:val="none"/>
                <w:vertAlign w:val="baseline"/>
                <w:lang w:val="en-US" w:eastAsia="zh-CN" w:bidi="ar-SA"/>
              </w:rPr>
              <w:t>备注</w:t>
            </w:r>
          </w:p>
        </w:tc>
      </w:tr>
      <w:tr w14:paraId="31D3C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58" w:type="dxa"/>
            <w:vMerge w:val="restart"/>
            <w:tcBorders>
              <w:top w:val="single" w:color="auto" w:sz="4" w:space="0"/>
              <w:left w:val="nil"/>
              <w:right w:val="single" w:color="auto" w:sz="4" w:space="0"/>
            </w:tcBorders>
            <w:noWrap w:val="0"/>
            <w:vAlign w:val="center"/>
          </w:tcPr>
          <w:p w14:paraId="02449726">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2242" w:type="dxa"/>
            <w:vMerge w:val="restart"/>
            <w:tcBorders>
              <w:top w:val="single" w:color="auto" w:sz="4" w:space="0"/>
              <w:left w:val="single" w:color="auto" w:sz="4" w:space="0"/>
              <w:right w:val="single" w:color="000000" w:sz="4" w:space="0"/>
            </w:tcBorders>
            <w:noWrap w:val="0"/>
            <w:vAlign w:val="center"/>
          </w:tcPr>
          <w:p w14:paraId="62167CC3">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宝鸡峡渭高干渠凤鸣中坡段排险除患经费项目</w:t>
            </w:r>
          </w:p>
        </w:tc>
        <w:tc>
          <w:tcPr>
            <w:tcW w:w="1527" w:type="dxa"/>
            <w:vMerge w:val="restart"/>
            <w:tcBorders>
              <w:top w:val="single" w:color="auto" w:sz="4" w:space="0"/>
              <w:left w:val="single" w:color="000000" w:sz="4" w:space="0"/>
              <w:right w:val="single" w:color="auto" w:sz="4" w:space="0"/>
            </w:tcBorders>
            <w:noWrap w:val="0"/>
            <w:vAlign w:val="center"/>
          </w:tcPr>
          <w:p w14:paraId="7E8F15C8">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38.00</w:t>
            </w:r>
          </w:p>
        </w:tc>
        <w:tc>
          <w:tcPr>
            <w:tcW w:w="1472" w:type="dxa"/>
            <w:vMerge w:val="restart"/>
            <w:tcBorders>
              <w:top w:val="single" w:color="auto" w:sz="4" w:space="0"/>
              <w:left w:val="single" w:color="auto" w:sz="4" w:space="0"/>
              <w:right w:val="nil"/>
            </w:tcBorders>
            <w:noWrap w:val="0"/>
            <w:vAlign w:val="center"/>
          </w:tcPr>
          <w:p w14:paraId="0E5835E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green"/>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38.00</w:t>
            </w:r>
          </w:p>
        </w:tc>
        <w:tc>
          <w:tcPr>
            <w:tcW w:w="2300" w:type="dxa"/>
            <w:tcBorders>
              <w:top w:val="single" w:color="auto" w:sz="4" w:space="0"/>
              <w:left w:val="single" w:color="auto" w:sz="4" w:space="0"/>
              <w:right w:val="nil"/>
            </w:tcBorders>
            <w:noWrap w:val="0"/>
            <w:vAlign w:val="center"/>
          </w:tcPr>
          <w:p w14:paraId="33E28E2B">
            <w:pPr>
              <w:pStyle w:val="3"/>
              <w:spacing w:line="240" w:lineRule="auto"/>
              <w:jc w:val="center"/>
              <w:rPr>
                <w:rFonts w:hint="default"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财政</w:t>
            </w:r>
            <w:r>
              <w:rPr>
                <w:rFonts w:hint="default" w:ascii="Arial" w:hAnsi="Arial" w:eastAsia="仿宋_GB2312" w:cs="Arial"/>
                <w:b w:val="0"/>
                <w:bCs w:val="0"/>
                <w:color w:val="auto"/>
                <w:kern w:val="2"/>
                <w:sz w:val="21"/>
                <w:szCs w:val="21"/>
                <w:highlight w:val="none"/>
                <w:vertAlign w:val="baseline"/>
                <w:lang w:val="en-US" w:eastAsia="zh-CN" w:bidi="ar-SA"/>
              </w:rPr>
              <w:t>→</w:t>
            </w:r>
            <w:r>
              <w:rPr>
                <w:rFonts w:hint="eastAsia" w:ascii="仿宋_GB2312" w:hAnsi="仿宋_GB2312" w:eastAsia="仿宋_GB2312" w:cs="仿宋_GB2312"/>
                <w:b w:val="0"/>
                <w:bCs w:val="0"/>
                <w:color w:val="auto"/>
                <w:kern w:val="2"/>
                <w:sz w:val="21"/>
                <w:szCs w:val="21"/>
                <w:highlight w:val="none"/>
                <w:vertAlign w:val="baseline"/>
                <w:lang w:val="en-US" w:eastAsia="zh-CN" w:bidi="ar-SA"/>
              </w:rPr>
              <w:t>镇2024.7.14</w:t>
            </w:r>
          </w:p>
        </w:tc>
        <w:tc>
          <w:tcPr>
            <w:tcW w:w="700" w:type="dxa"/>
            <w:vMerge w:val="restart"/>
            <w:tcBorders>
              <w:top w:val="single" w:color="auto" w:sz="4" w:space="0"/>
              <w:left w:val="single" w:color="auto" w:sz="4" w:space="0"/>
              <w:right w:val="nil"/>
            </w:tcBorders>
            <w:noWrap w:val="0"/>
            <w:vAlign w:val="center"/>
          </w:tcPr>
          <w:p w14:paraId="490F1420">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28C8B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658" w:type="dxa"/>
            <w:vMerge w:val="continue"/>
            <w:tcBorders>
              <w:left w:val="nil"/>
              <w:right w:val="single" w:color="auto" w:sz="4" w:space="0"/>
            </w:tcBorders>
            <w:noWrap w:val="0"/>
            <w:vAlign w:val="center"/>
          </w:tcPr>
          <w:p w14:paraId="3FB96FFE">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c>
          <w:tcPr>
            <w:tcW w:w="2242" w:type="dxa"/>
            <w:vMerge w:val="continue"/>
            <w:tcBorders>
              <w:left w:val="single" w:color="auto" w:sz="4" w:space="0"/>
              <w:right w:val="single" w:color="000000" w:sz="4" w:space="0"/>
            </w:tcBorders>
            <w:noWrap w:val="0"/>
            <w:vAlign w:val="center"/>
          </w:tcPr>
          <w:p w14:paraId="63F0F1D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c>
          <w:tcPr>
            <w:tcW w:w="1527" w:type="dxa"/>
            <w:vMerge w:val="continue"/>
            <w:tcBorders>
              <w:left w:val="single" w:color="000000" w:sz="4" w:space="0"/>
              <w:bottom w:val="single" w:color="auto" w:sz="4" w:space="0"/>
              <w:right w:val="single" w:color="auto" w:sz="4" w:space="0"/>
            </w:tcBorders>
            <w:noWrap w:val="0"/>
            <w:vAlign w:val="center"/>
          </w:tcPr>
          <w:p w14:paraId="7877BBF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c>
          <w:tcPr>
            <w:tcW w:w="1472" w:type="dxa"/>
            <w:vMerge w:val="continue"/>
            <w:tcBorders>
              <w:left w:val="single" w:color="auto" w:sz="4" w:space="0"/>
              <w:bottom w:val="single" w:color="auto" w:sz="4" w:space="0"/>
              <w:right w:val="nil"/>
            </w:tcBorders>
            <w:noWrap w:val="0"/>
            <w:vAlign w:val="center"/>
          </w:tcPr>
          <w:p w14:paraId="3903437E">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c>
          <w:tcPr>
            <w:tcW w:w="2300" w:type="dxa"/>
            <w:tcBorders>
              <w:top w:val="single" w:color="auto" w:sz="4" w:space="0"/>
              <w:left w:val="single" w:color="auto" w:sz="4" w:space="0"/>
              <w:right w:val="nil"/>
            </w:tcBorders>
            <w:noWrap w:val="0"/>
            <w:vAlign w:val="center"/>
          </w:tcPr>
          <w:p w14:paraId="359A1C19">
            <w:pPr>
              <w:pStyle w:val="3"/>
              <w:spacing w:line="240" w:lineRule="auto"/>
              <w:jc w:val="center"/>
              <w:rPr>
                <w:rFonts w:hint="default"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镇</w:t>
            </w:r>
            <w:r>
              <w:rPr>
                <w:rFonts w:hint="default" w:ascii="Arial" w:hAnsi="Arial" w:eastAsia="仿宋_GB2312" w:cs="Arial"/>
                <w:b w:val="0"/>
                <w:bCs w:val="0"/>
                <w:color w:val="auto"/>
                <w:kern w:val="2"/>
                <w:sz w:val="21"/>
                <w:szCs w:val="21"/>
                <w:highlight w:val="none"/>
                <w:vertAlign w:val="baseline"/>
                <w:lang w:val="en-US" w:eastAsia="zh-CN" w:bidi="ar-SA"/>
              </w:rPr>
              <w:t>→</w:t>
            </w:r>
            <w:r>
              <w:rPr>
                <w:rFonts w:hint="eastAsia" w:ascii="仿宋_GB2312" w:hAnsi="仿宋_GB2312" w:eastAsia="仿宋_GB2312" w:cs="仿宋_GB2312"/>
                <w:b w:val="0"/>
                <w:bCs w:val="0"/>
                <w:color w:val="auto"/>
                <w:kern w:val="2"/>
                <w:sz w:val="21"/>
                <w:szCs w:val="21"/>
                <w:highlight w:val="none"/>
                <w:vertAlign w:val="baseline"/>
                <w:lang w:val="en-US" w:eastAsia="zh-CN" w:bidi="ar-SA"/>
              </w:rPr>
              <w:t>村2024.8.29</w:t>
            </w:r>
          </w:p>
        </w:tc>
        <w:tc>
          <w:tcPr>
            <w:tcW w:w="700" w:type="dxa"/>
            <w:vMerge w:val="continue"/>
            <w:tcBorders>
              <w:left w:val="single" w:color="auto" w:sz="4" w:space="0"/>
              <w:bottom w:val="single" w:color="auto" w:sz="4" w:space="0"/>
              <w:right w:val="nil"/>
            </w:tcBorders>
            <w:noWrap w:val="0"/>
            <w:vAlign w:val="center"/>
          </w:tcPr>
          <w:p w14:paraId="2EF86F20">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29974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58" w:type="dxa"/>
            <w:tcBorders>
              <w:top w:val="single" w:color="auto" w:sz="4" w:space="0"/>
              <w:left w:val="nil"/>
              <w:bottom w:val="single" w:color="auto" w:sz="4" w:space="0"/>
              <w:right w:val="single" w:color="auto" w:sz="4" w:space="0"/>
            </w:tcBorders>
            <w:shd w:val="clear" w:color="auto" w:fill="auto"/>
            <w:noWrap w:val="0"/>
            <w:vAlign w:val="center"/>
          </w:tcPr>
          <w:p w14:paraId="1D9B35E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合计</w:t>
            </w:r>
          </w:p>
        </w:tc>
        <w:tc>
          <w:tcPr>
            <w:tcW w:w="2242"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0052C85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1527" w:type="dxa"/>
            <w:tcBorders>
              <w:top w:val="single" w:color="auto" w:sz="4" w:space="0"/>
              <w:left w:val="single" w:color="000000" w:sz="4" w:space="0"/>
              <w:bottom w:val="single" w:color="auto" w:sz="4" w:space="0"/>
              <w:right w:val="single" w:color="auto" w:sz="4" w:space="0"/>
            </w:tcBorders>
            <w:noWrap w:val="0"/>
            <w:vAlign w:val="center"/>
          </w:tcPr>
          <w:p w14:paraId="4C51F7E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38.00</w:t>
            </w:r>
          </w:p>
        </w:tc>
        <w:tc>
          <w:tcPr>
            <w:tcW w:w="1472" w:type="dxa"/>
            <w:tcBorders>
              <w:top w:val="single" w:color="auto" w:sz="4" w:space="0"/>
              <w:left w:val="single" w:color="auto" w:sz="4" w:space="0"/>
              <w:bottom w:val="single" w:color="auto" w:sz="4" w:space="0"/>
              <w:right w:val="nil"/>
            </w:tcBorders>
            <w:noWrap w:val="0"/>
            <w:vAlign w:val="center"/>
          </w:tcPr>
          <w:p w14:paraId="7FA87B2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38.00</w:t>
            </w:r>
          </w:p>
        </w:tc>
        <w:tc>
          <w:tcPr>
            <w:tcW w:w="2300" w:type="dxa"/>
            <w:tcBorders>
              <w:top w:val="single" w:color="auto" w:sz="4" w:space="0"/>
              <w:left w:val="single" w:color="auto" w:sz="4" w:space="0"/>
              <w:bottom w:val="single" w:color="auto" w:sz="4" w:space="0"/>
              <w:right w:val="nil"/>
            </w:tcBorders>
            <w:noWrap w:val="0"/>
            <w:vAlign w:val="center"/>
          </w:tcPr>
          <w:p w14:paraId="04EC530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c>
          <w:tcPr>
            <w:tcW w:w="700" w:type="dxa"/>
            <w:tcBorders>
              <w:top w:val="single" w:color="auto" w:sz="4" w:space="0"/>
              <w:left w:val="single" w:color="auto" w:sz="4" w:space="0"/>
              <w:bottom w:val="single" w:color="auto" w:sz="4" w:space="0"/>
              <w:right w:val="nil"/>
            </w:tcBorders>
            <w:noWrap w:val="0"/>
            <w:vAlign w:val="center"/>
          </w:tcPr>
          <w:p w14:paraId="5F6FA897">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kern w:val="2"/>
                <w:sz w:val="21"/>
                <w:szCs w:val="21"/>
                <w:highlight w:val="none"/>
                <w:vertAlign w:val="baseline"/>
                <w:lang w:val="en-US" w:eastAsia="zh-CN" w:bidi="ar-SA"/>
              </w:rPr>
            </w:pPr>
          </w:p>
        </w:tc>
      </w:tr>
    </w:tbl>
    <w:p w14:paraId="411F0FA1">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eastAsia="zh-CN"/>
        </w:rPr>
      </w:pPr>
      <w:r>
        <w:rPr>
          <w:rFonts w:hint="eastAsia" w:ascii="楷体" w:hAnsi="楷体" w:eastAsia="楷体" w:cs="楷体"/>
          <w:b/>
          <w:bCs/>
          <w:color w:val="auto"/>
          <w:sz w:val="32"/>
          <w:szCs w:val="32"/>
          <w:highlight w:val="none"/>
          <w:lang w:eastAsia="zh-CN"/>
        </w:rPr>
        <w:t>（</w:t>
      </w:r>
      <w:r>
        <w:rPr>
          <w:rFonts w:hint="eastAsia" w:ascii="楷体" w:hAnsi="楷体" w:eastAsia="楷体" w:cs="楷体"/>
          <w:b/>
          <w:bCs/>
          <w:color w:val="auto"/>
          <w:sz w:val="32"/>
          <w:szCs w:val="32"/>
          <w:highlight w:val="none"/>
          <w:lang w:val="en-US" w:eastAsia="zh-CN"/>
        </w:rPr>
        <w:t>四</w:t>
      </w:r>
      <w:r>
        <w:rPr>
          <w:rFonts w:hint="eastAsia" w:ascii="楷体" w:hAnsi="楷体" w:eastAsia="楷体" w:cs="楷体"/>
          <w:b/>
          <w:bCs/>
          <w:color w:val="auto"/>
          <w:sz w:val="32"/>
          <w:szCs w:val="32"/>
          <w:highlight w:val="none"/>
          <w:lang w:eastAsia="zh-CN"/>
        </w:rPr>
        <w:t>）项目预算</w:t>
      </w:r>
      <w:r>
        <w:rPr>
          <w:rFonts w:hint="eastAsia" w:ascii="楷体" w:hAnsi="楷体" w:eastAsia="楷体" w:cs="楷体"/>
          <w:b/>
          <w:bCs/>
          <w:color w:val="auto"/>
          <w:sz w:val="32"/>
          <w:szCs w:val="32"/>
          <w:highlight w:val="none"/>
          <w:lang w:val="en-US" w:eastAsia="zh-CN"/>
        </w:rPr>
        <w:t>资金</w:t>
      </w:r>
      <w:r>
        <w:rPr>
          <w:rFonts w:hint="eastAsia" w:ascii="楷体" w:hAnsi="楷体" w:eastAsia="楷体" w:cs="楷体"/>
          <w:b/>
          <w:bCs/>
          <w:color w:val="auto"/>
          <w:sz w:val="32"/>
          <w:szCs w:val="32"/>
          <w:highlight w:val="none"/>
          <w:lang w:eastAsia="zh-CN"/>
        </w:rPr>
        <w:t>执行情况</w:t>
      </w:r>
    </w:p>
    <w:p w14:paraId="16ECC04C">
      <w:pPr>
        <w:keepNext w:val="0"/>
        <w:keepLines w:val="0"/>
        <w:pageBreakBefore w:val="0"/>
        <w:widowControl w:val="0"/>
        <w:kinsoku/>
        <w:wordWrap/>
        <w:overflowPunct/>
        <w:topLinePunct w:val="0"/>
        <w:autoSpaceDE/>
        <w:autoSpaceDN/>
        <w:bidi w:val="0"/>
        <w:adjustRightInd/>
        <w:snapToGrid/>
        <w:spacing w:line="560" w:lineRule="exact"/>
        <w:ind w:left="0" w:leftChars="0" w:firstLine="622" w:firstLineChars="200"/>
        <w:textAlignment w:val="auto"/>
        <w:rPr>
          <w:rFonts w:hint="eastAsia" w:ascii="仿宋_GB2312" w:hAnsi="仿宋_GB2312" w:eastAsia="仿宋_GB2312" w:cs="仿宋_GB2312"/>
          <w:spacing w:val="-6"/>
          <w:kern w:val="2"/>
          <w:sz w:val="32"/>
          <w:szCs w:val="32"/>
          <w:highlight w:val="none"/>
          <w:lang w:val="en-US" w:eastAsia="zh-CN" w:bidi="ar-SA"/>
        </w:rPr>
      </w:pPr>
      <w:r>
        <w:rPr>
          <w:rFonts w:hint="default" w:ascii="仿宋_GB2312" w:hAnsi="仿宋_GB2312" w:eastAsia="仿宋_GB2312" w:cs="仿宋_GB2312"/>
          <w:spacing w:val="-6"/>
          <w:kern w:val="2"/>
          <w:sz w:val="32"/>
          <w:szCs w:val="32"/>
          <w:highlight w:val="none"/>
          <w:lang w:val="en-US" w:eastAsia="zh-CN" w:bidi="ar-SA"/>
        </w:rPr>
        <w:t>截至</w:t>
      </w:r>
      <w:r>
        <w:rPr>
          <w:rFonts w:hint="eastAsia" w:ascii="仿宋_GB2312" w:hAnsi="仿宋_GB2312" w:eastAsia="仿宋_GB2312" w:cs="仿宋_GB2312"/>
          <w:spacing w:val="-6"/>
          <w:kern w:val="2"/>
          <w:sz w:val="32"/>
          <w:szCs w:val="32"/>
          <w:highlight w:val="none"/>
          <w:lang w:val="en-US" w:eastAsia="zh-CN" w:bidi="ar-SA"/>
        </w:rPr>
        <w:t>2025年5月底，项目共支出资金</w:t>
      </w:r>
      <w:r>
        <w:rPr>
          <w:rFonts w:hint="eastAsia" w:ascii="仿宋_GB2312" w:hAnsi="仿宋_GB2312" w:eastAsia="仿宋_GB2312" w:cs="仿宋_GB2312"/>
          <w:color w:val="auto"/>
          <w:kern w:val="2"/>
          <w:sz w:val="32"/>
          <w:szCs w:val="32"/>
          <w:highlight w:val="none"/>
          <w:lang w:val="en-US" w:eastAsia="zh-CN" w:bidi="ar-SA"/>
        </w:rPr>
        <w:t>467,197.00元</w:t>
      </w:r>
      <w:r>
        <w:rPr>
          <w:rFonts w:hint="eastAsia" w:ascii="仿宋_GB2312" w:hAnsi="仿宋_GB2312" w:eastAsia="仿宋_GB2312" w:cs="仿宋_GB2312"/>
          <w:spacing w:val="-6"/>
          <w:kern w:val="2"/>
          <w:sz w:val="32"/>
          <w:szCs w:val="32"/>
          <w:highlight w:val="none"/>
          <w:lang w:val="en-US" w:eastAsia="zh-CN" w:bidi="ar-SA"/>
        </w:rPr>
        <w:t>,其中本次财政预算资金支出380,000.00元，绛帐镇凤鸣村村委会自有资金支出87,197.00元，预算资金执行率为100%。详见表3。</w:t>
      </w:r>
    </w:p>
    <w:p w14:paraId="007D1339">
      <w:pPr>
        <w:keepNext w:val="0"/>
        <w:keepLines w:val="0"/>
        <w:pageBreakBefore w:val="0"/>
        <w:widowControl w:val="0"/>
        <w:kinsoku/>
        <w:wordWrap/>
        <w:overflowPunct/>
        <w:topLinePunct w:val="0"/>
        <w:autoSpaceDE/>
        <w:autoSpaceDN/>
        <w:bidi w:val="0"/>
        <w:adjustRightInd/>
        <w:snapToGrid/>
        <w:spacing w:line="560" w:lineRule="exact"/>
        <w:ind w:firstLine="1415" w:firstLineChars="500"/>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表3-1   项目预算资金执行情况表   </w:t>
      </w:r>
      <w:r>
        <w:rPr>
          <w:rFonts w:hint="eastAsia" w:ascii="仿宋_GB2312" w:hAnsi="仿宋_GB2312" w:eastAsia="仿宋_GB2312" w:cs="仿宋_GB2312"/>
          <w:b/>
          <w:bCs/>
          <w:color w:val="auto"/>
          <w:sz w:val="21"/>
          <w:szCs w:val="21"/>
          <w:highlight w:val="none"/>
          <w:lang w:val="en-US" w:eastAsia="zh-CN"/>
        </w:rPr>
        <w:t>单位：万元</w:t>
      </w:r>
    </w:p>
    <w:tbl>
      <w:tblPr>
        <w:tblStyle w:val="16"/>
        <w:tblpPr w:leftFromText="181" w:rightFromText="181" w:vertAnchor="text" w:horzAnchor="page" w:tblpX="1667" w:tblpY="114"/>
        <w:tblOverlap w:val="never"/>
        <w:tblW w:w="87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710"/>
        <w:gridCol w:w="1690"/>
        <w:gridCol w:w="1740"/>
        <w:gridCol w:w="1330"/>
        <w:gridCol w:w="641"/>
      </w:tblGrid>
      <w:tr w14:paraId="0F074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650" w:type="dxa"/>
            <w:tcBorders>
              <w:left w:val="nil"/>
              <w:bottom w:val="single" w:color="auto" w:sz="4" w:space="0"/>
              <w:right w:val="single" w:color="auto" w:sz="4" w:space="0"/>
            </w:tcBorders>
            <w:shd w:val="clear" w:color="auto" w:fill="D7D7D7"/>
            <w:noWrap w:val="0"/>
            <w:vAlign w:val="center"/>
          </w:tcPr>
          <w:p w14:paraId="75D461D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序号</w:t>
            </w:r>
          </w:p>
        </w:tc>
        <w:tc>
          <w:tcPr>
            <w:tcW w:w="2710" w:type="dxa"/>
            <w:tcBorders>
              <w:left w:val="single" w:color="auto" w:sz="4" w:space="0"/>
              <w:bottom w:val="single" w:color="auto" w:sz="4" w:space="0"/>
              <w:right w:val="single" w:color="auto" w:sz="4" w:space="0"/>
            </w:tcBorders>
            <w:shd w:val="clear" w:color="auto" w:fill="D7D7D7"/>
            <w:noWrap w:val="0"/>
            <w:vAlign w:val="center"/>
          </w:tcPr>
          <w:p w14:paraId="48C82E79">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项目名称</w:t>
            </w:r>
          </w:p>
        </w:tc>
        <w:tc>
          <w:tcPr>
            <w:tcW w:w="1690" w:type="dxa"/>
            <w:tcBorders>
              <w:left w:val="single" w:color="auto" w:sz="4" w:space="0"/>
              <w:bottom w:val="single" w:color="auto" w:sz="4" w:space="0"/>
              <w:right w:val="single" w:color="auto" w:sz="4" w:space="0"/>
            </w:tcBorders>
            <w:shd w:val="clear" w:color="auto" w:fill="D7D7D7"/>
            <w:noWrap w:val="0"/>
            <w:vAlign w:val="center"/>
          </w:tcPr>
          <w:p w14:paraId="1EA8A9C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预算到位金额</w:t>
            </w:r>
          </w:p>
        </w:tc>
        <w:tc>
          <w:tcPr>
            <w:tcW w:w="1740" w:type="dxa"/>
            <w:tcBorders>
              <w:left w:val="single" w:color="auto" w:sz="4" w:space="0"/>
              <w:bottom w:val="single" w:color="auto" w:sz="4" w:space="0"/>
              <w:right w:val="single" w:color="auto" w:sz="4" w:space="0"/>
            </w:tcBorders>
            <w:shd w:val="clear" w:color="auto" w:fill="D7D7D7"/>
            <w:noWrap w:val="0"/>
            <w:vAlign w:val="center"/>
          </w:tcPr>
          <w:p w14:paraId="4EDEC381">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执行金额</w:t>
            </w:r>
          </w:p>
        </w:tc>
        <w:tc>
          <w:tcPr>
            <w:tcW w:w="1330" w:type="dxa"/>
            <w:tcBorders>
              <w:left w:val="single" w:color="000000" w:sz="4" w:space="0"/>
              <w:bottom w:val="single" w:color="auto" w:sz="4" w:space="0"/>
              <w:right w:val="single" w:color="auto" w:sz="4" w:space="0"/>
            </w:tcBorders>
            <w:shd w:val="clear" w:color="auto" w:fill="D7D7D7"/>
            <w:noWrap w:val="0"/>
            <w:vAlign w:val="center"/>
          </w:tcPr>
          <w:p w14:paraId="752A5528">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预算执行率</w:t>
            </w:r>
          </w:p>
        </w:tc>
        <w:tc>
          <w:tcPr>
            <w:tcW w:w="641" w:type="dxa"/>
            <w:tcBorders>
              <w:left w:val="single" w:color="auto" w:sz="4" w:space="0"/>
              <w:bottom w:val="single" w:color="auto" w:sz="4" w:space="0"/>
              <w:right w:val="nil"/>
            </w:tcBorders>
            <w:shd w:val="clear" w:color="auto" w:fill="D7D7D7"/>
            <w:noWrap w:val="0"/>
            <w:vAlign w:val="center"/>
          </w:tcPr>
          <w:p w14:paraId="2E34FFAE">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备注</w:t>
            </w:r>
          </w:p>
        </w:tc>
      </w:tr>
      <w:tr w14:paraId="4E143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50" w:type="dxa"/>
            <w:tcBorders>
              <w:top w:val="single" w:color="auto" w:sz="4" w:space="0"/>
              <w:left w:val="nil"/>
              <w:bottom w:val="single" w:color="auto" w:sz="4" w:space="0"/>
              <w:right w:val="single" w:color="auto" w:sz="4" w:space="0"/>
            </w:tcBorders>
            <w:noWrap w:val="0"/>
            <w:vAlign w:val="center"/>
          </w:tcPr>
          <w:p w14:paraId="61D4E719">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w:t>
            </w:r>
          </w:p>
        </w:tc>
        <w:tc>
          <w:tcPr>
            <w:tcW w:w="2710" w:type="dxa"/>
            <w:tcBorders>
              <w:top w:val="single" w:color="auto" w:sz="4" w:space="0"/>
              <w:left w:val="single" w:color="auto" w:sz="4" w:space="0"/>
              <w:right w:val="single" w:color="auto" w:sz="4" w:space="0"/>
            </w:tcBorders>
            <w:noWrap w:val="0"/>
            <w:vAlign w:val="center"/>
          </w:tcPr>
          <w:p w14:paraId="533D974E">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宝鸡峡渭高干渠凤鸣中坡段排险除患经费项目</w:t>
            </w:r>
          </w:p>
        </w:tc>
        <w:tc>
          <w:tcPr>
            <w:tcW w:w="1690" w:type="dxa"/>
            <w:tcBorders>
              <w:top w:val="single" w:color="auto" w:sz="4" w:space="0"/>
              <w:left w:val="single" w:color="auto" w:sz="4" w:space="0"/>
              <w:bottom w:val="single" w:color="auto" w:sz="4" w:space="0"/>
              <w:right w:val="single" w:color="auto" w:sz="4" w:space="0"/>
            </w:tcBorders>
            <w:noWrap w:val="0"/>
            <w:vAlign w:val="center"/>
          </w:tcPr>
          <w:p w14:paraId="39B560CC">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38.00</w:t>
            </w:r>
          </w:p>
        </w:tc>
        <w:tc>
          <w:tcPr>
            <w:tcW w:w="1740" w:type="dxa"/>
            <w:tcBorders>
              <w:top w:val="single" w:color="auto" w:sz="4" w:space="0"/>
              <w:left w:val="single" w:color="auto" w:sz="4" w:space="0"/>
              <w:right w:val="single" w:color="auto" w:sz="4" w:space="0"/>
            </w:tcBorders>
            <w:noWrap w:val="0"/>
            <w:vAlign w:val="center"/>
          </w:tcPr>
          <w:p w14:paraId="254C63B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38.00</w:t>
            </w:r>
          </w:p>
        </w:tc>
        <w:tc>
          <w:tcPr>
            <w:tcW w:w="1330" w:type="dxa"/>
            <w:tcBorders>
              <w:top w:val="single" w:color="auto" w:sz="4" w:space="0"/>
              <w:left w:val="single" w:color="000000" w:sz="4" w:space="0"/>
              <w:right w:val="single" w:color="auto" w:sz="4" w:space="0"/>
            </w:tcBorders>
            <w:noWrap w:val="0"/>
            <w:vAlign w:val="center"/>
          </w:tcPr>
          <w:p w14:paraId="670D7222">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r>
              <w:rPr>
                <w:rFonts w:hint="eastAsia" w:ascii="仿宋_GB2312" w:hAnsi="仿宋_GB2312" w:eastAsia="仿宋_GB2312" w:cs="仿宋_GB2312"/>
                <w:b w:val="0"/>
                <w:bCs w:val="0"/>
                <w:color w:val="auto"/>
                <w:kern w:val="2"/>
                <w:sz w:val="21"/>
                <w:szCs w:val="21"/>
                <w:highlight w:val="none"/>
                <w:vertAlign w:val="baseline"/>
                <w:lang w:val="en-US" w:eastAsia="zh-CN" w:bidi="ar-SA"/>
              </w:rPr>
              <w:t>100%</w:t>
            </w:r>
          </w:p>
        </w:tc>
        <w:tc>
          <w:tcPr>
            <w:tcW w:w="641" w:type="dxa"/>
            <w:tcBorders>
              <w:top w:val="single" w:color="auto" w:sz="4" w:space="0"/>
              <w:left w:val="single" w:color="auto" w:sz="4" w:space="0"/>
              <w:right w:val="nil"/>
            </w:tcBorders>
            <w:noWrap w:val="0"/>
            <w:vAlign w:val="center"/>
          </w:tcPr>
          <w:p w14:paraId="295E422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r w14:paraId="5D344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50" w:type="dxa"/>
            <w:tcBorders>
              <w:top w:val="single" w:color="auto" w:sz="4" w:space="0"/>
              <w:left w:val="nil"/>
              <w:bottom w:val="single" w:color="auto" w:sz="4" w:space="0"/>
              <w:right w:val="single" w:color="auto" w:sz="4" w:space="0"/>
            </w:tcBorders>
            <w:noWrap w:val="0"/>
            <w:vAlign w:val="center"/>
          </w:tcPr>
          <w:p w14:paraId="444896DC">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c>
          <w:tcPr>
            <w:tcW w:w="2710" w:type="dxa"/>
            <w:tcBorders>
              <w:left w:val="single" w:color="auto" w:sz="4" w:space="0"/>
              <w:bottom w:val="single" w:color="auto" w:sz="4" w:space="0"/>
              <w:right w:val="single" w:color="auto" w:sz="4" w:space="0"/>
            </w:tcBorders>
            <w:noWrap w:val="0"/>
            <w:vAlign w:val="center"/>
          </w:tcPr>
          <w:p w14:paraId="456C9847">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合计</w:t>
            </w:r>
          </w:p>
        </w:tc>
        <w:tc>
          <w:tcPr>
            <w:tcW w:w="1690" w:type="dxa"/>
            <w:tcBorders>
              <w:top w:val="single" w:color="auto" w:sz="4" w:space="0"/>
              <w:left w:val="single" w:color="auto" w:sz="4" w:space="0"/>
              <w:bottom w:val="single" w:color="auto" w:sz="4" w:space="0"/>
              <w:right w:val="single" w:color="auto" w:sz="4" w:space="0"/>
            </w:tcBorders>
            <w:noWrap w:val="0"/>
            <w:vAlign w:val="center"/>
          </w:tcPr>
          <w:p w14:paraId="56C621E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38.00</w:t>
            </w:r>
          </w:p>
        </w:tc>
        <w:tc>
          <w:tcPr>
            <w:tcW w:w="1740" w:type="dxa"/>
            <w:tcBorders>
              <w:left w:val="single" w:color="auto" w:sz="4" w:space="0"/>
              <w:bottom w:val="single" w:color="auto" w:sz="4" w:space="0"/>
              <w:right w:val="single" w:color="auto" w:sz="4" w:space="0"/>
            </w:tcBorders>
            <w:noWrap w:val="0"/>
            <w:vAlign w:val="center"/>
          </w:tcPr>
          <w:p w14:paraId="13B96945">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38.00</w:t>
            </w:r>
          </w:p>
        </w:tc>
        <w:tc>
          <w:tcPr>
            <w:tcW w:w="1330" w:type="dxa"/>
            <w:tcBorders>
              <w:left w:val="single" w:color="000000" w:sz="4" w:space="0"/>
              <w:bottom w:val="single" w:color="auto" w:sz="4" w:space="0"/>
              <w:right w:val="single" w:color="auto" w:sz="4" w:space="0"/>
            </w:tcBorders>
            <w:noWrap w:val="0"/>
            <w:vAlign w:val="center"/>
          </w:tcPr>
          <w:p w14:paraId="68973BC8">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bCs/>
                <w:color w:val="auto"/>
                <w:kern w:val="2"/>
                <w:sz w:val="21"/>
                <w:szCs w:val="21"/>
                <w:highlight w:val="none"/>
                <w:vertAlign w:val="baseline"/>
                <w:lang w:val="en-US" w:eastAsia="zh-CN" w:bidi="ar-SA"/>
              </w:rPr>
            </w:pPr>
            <w:r>
              <w:rPr>
                <w:rFonts w:hint="eastAsia" w:ascii="仿宋_GB2312" w:hAnsi="仿宋_GB2312" w:eastAsia="仿宋_GB2312" w:cs="仿宋_GB2312"/>
                <w:b/>
                <w:bCs/>
                <w:color w:val="auto"/>
                <w:kern w:val="2"/>
                <w:sz w:val="21"/>
                <w:szCs w:val="21"/>
                <w:highlight w:val="none"/>
                <w:vertAlign w:val="baseline"/>
                <w:lang w:val="en-US" w:eastAsia="zh-CN" w:bidi="ar-SA"/>
              </w:rPr>
              <w:t>100%</w:t>
            </w:r>
          </w:p>
        </w:tc>
        <w:tc>
          <w:tcPr>
            <w:tcW w:w="641" w:type="dxa"/>
            <w:tcBorders>
              <w:left w:val="single" w:color="auto" w:sz="4" w:space="0"/>
              <w:right w:val="nil"/>
            </w:tcBorders>
            <w:noWrap w:val="0"/>
            <w:vAlign w:val="center"/>
          </w:tcPr>
          <w:p w14:paraId="28048A3A">
            <w:pPr>
              <w:pStyle w:val="3"/>
              <w:keepNext w:val="0"/>
              <w:keepLines w:val="0"/>
              <w:pageBreakBefore w:val="0"/>
              <w:kinsoku/>
              <w:wordWrap/>
              <w:overflowPunct/>
              <w:topLinePunct w:val="0"/>
              <w:autoSpaceDE/>
              <w:autoSpaceDN/>
              <w:bidi w:val="0"/>
              <w:adjustRightInd/>
              <w:snapToGrid/>
              <w:spacing w:line="240" w:lineRule="exact"/>
              <w:jc w:val="center"/>
              <w:rPr>
                <w:rFonts w:hint="eastAsia" w:ascii="仿宋_GB2312" w:hAnsi="仿宋_GB2312" w:eastAsia="仿宋_GB2312" w:cs="仿宋_GB2312"/>
                <w:b w:val="0"/>
                <w:bCs w:val="0"/>
                <w:color w:val="auto"/>
                <w:kern w:val="2"/>
                <w:sz w:val="21"/>
                <w:szCs w:val="21"/>
                <w:highlight w:val="none"/>
                <w:vertAlign w:val="baseline"/>
                <w:lang w:val="en-US" w:eastAsia="zh-CN" w:bidi="ar-SA"/>
              </w:rPr>
            </w:pPr>
          </w:p>
        </w:tc>
      </w:tr>
    </w:tbl>
    <w:p w14:paraId="403EBD27">
      <w:pPr>
        <w:keepNext w:val="0"/>
        <w:keepLines w:val="0"/>
        <w:pageBreakBefore w:val="0"/>
        <w:widowControl w:val="0"/>
        <w:kinsoku/>
        <w:wordWrap/>
        <w:overflowPunct/>
        <w:topLinePunct w:val="0"/>
        <w:autoSpaceDE/>
        <w:autoSpaceDN/>
        <w:bidi w:val="0"/>
        <w:adjustRightInd/>
        <w:snapToGrid/>
        <w:spacing w:line="560" w:lineRule="exact"/>
        <w:ind w:firstLine="1698" w:firstLineChars="600"/>
        <w:textAlignment w:val="auto"/>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kern w:val="2"/>
          <w:sz w:val="28"/>
          <w:szCs w:val="28"/>
          <w:highlight w:val="none"/>
          <w:lang w:val="en-US" w:eastAsia="zh-CN" w:bidi="ar-SA"/>
        </w:rPr>
        <w:t xml:space="preserve">表3-2   项目支出情况明细表     </w:t>
      </w:r>
      <w:r>
        <w:rPr>
          <w:rFonts w:hint="eastAsia" w:ascii="仿宋_GB2312" w:hAnsi="仿宋_GB2312" w:eastAsia="仿宋_GB2312" w:cs="仿宋_GB2312"/>
          <w:b/>
          <w:bCs/>
          <w:color w:val="auto"/>
          <w:sz w:val="21"/>
          <w:szCs w:val="21"/>
          <w:highlight w:val="none"/>
          <w:lang w:val="en-US" w:eastAsia="zh-CN"/>
        </w:rPr>
        <w:t>单位：元</w:t>
      </w:r>
    </w:p>
    <w:tbl>
      <w:tblPr>
        <w:tblStyle w:val="15"/>
        <w:tblW w:w="9150" w:type="dxa"/>
        <w:tblInd w:w="-2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0"/>
        <w:gridCol w:w="2800"/>
        <w:gridCol w:w="1370"/>
        <w:gridCol w:w="1540"/>
        <w:gridCol w:w="1260"/>
        <w:gridCol w:w="1540"/>
      </w:tblGrid>
      <w:tr w14:paraId="0EAF4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640" w:type="dxa"/>
            <w:tcBorders>
              <w:top w:val="single" w:color="000000" w:sz="4" w:space="0"/>
              <w:left w:val="nil"/>
              <w:bottom w:val="single" w:color="000000" w:sz="4" w:space="0"/>
              <w:right w:val="single" w:color="000000" w:sz="4" w:space="0"/>
            </w:tcBorders>
            <w:shd w:val="clear" w:color="auto" w:fill="D7D7D7" w:themeFill="background1" w:themeFillShade="D8"/>
            <w:vAlign w:val="center"/>
          </w:tcPr>
          <w:p w14:paraId="56F44B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序号</w:t>
            </w:r>
          </w:p>
        </w:tc>
        <w:tc>
          <w:tcPr>
            <w:tcW w:w="2800" w:type="dxa"/>
            <w:tcBorders>
              <w:top w:val="single" w:color="000000" w:sz="4" w:space="0"/>
              <w:left w:val="single" w:color="000000" w:sz="4" w:space="0"/>
              <w:bottom w:val="single" w:color="000000" w:sz="4" w:space="0"/>
              <w:right w:val="single" w:color="auto" w:sz="4" w:space="0"/>
            </w:tcBorders>
            <w:shd w:val="clear" w:color="auto" w:fill="D7D7D7" w:themeFill="background1" w:themeFillShade="D8"/>
            <w:vAlign w:val="center"/>
          </w:tcPr>
          <w:p w14:paraId="554D50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rPr>
            </w:pPr>
            <w:r>
              <w:rPr>
                <w:rFonts w:hint="eastAsia" w:ascii="仿宋_GB2312" w:hAnsi="仿宋_GB2312" w:eastAsia="仿宋_GB2312" w:cs="仿宋_GB2312"/>
                <w:b/>
                <w:bCs/>
                <w:i w:val="0"/>
                <w:iCs w:val="0"/>
                <w:color w:val="000000"/>
                <w:kern w:val="0"/>
                <w:sz w:val="18"/>
                <w:szCs w:val="18"/>
                <w:u w:val="none"/>
                <w:lang w:val="en-US" w:eastAsia="zh-CN" w:bidi="ar"/>
              </w:rPr>
              <w:t>收款单位</w:t>
            </w:r>
          </w:p>
        </w:tc>
        <w:tc>
          <w:tcPr>
            <w:tcW w:w="1370" w:type="dxa"/>
            <w:tcBorders>
              <w:top w:val="single" w:color="000000" w:sz="4" w:space="0"/>
              <w:left w:val="single" w:color="auto" w:sz="4" w:space="0"/>
              <w:bottom w:val="single" w:color="000000" w:sz="4" w:space="0"/>
              <w:right w:val="single" w:color="000000" w:sz="4" w:space="0"/>
            </w:tcBorders>
            <w:shd w:val="clear" w:color="auto" w:fill="D7D7D7" w:themeFill="background1" w:themeFillShade="D8"/>
            <w:vAlign w:val="center"/>
          </w:tcPr>
          <w:p w14:paraId="1E3F78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lang w:val="en-US"/>
              </w:rPr>
            </w:pPr>
            <w:r>
              <w:rPr>
                <w:rFonts w:hint="eastAsia" w:ascii="仿宋_GB2312" w:hAnsi="仿宋_GB2312" w:eastAsia="仿宋_GB2312" w:cs="仿宋_GB2312"/>
                <w:b/>
                <w:bCs/>
                <w:i w:val="0"/>
                <w:iCs w:val="0"/>
                <w:color w:val="000000"/>
                <w:kern w:val="0"/>
                <w:sz w:val="18"/>
                <w:szCs w:val="18"/>
                <w:u w:val="none"/>
                <w:lang w:val="en-US" w:eastAsia="zh-CN" w:bidi="ar"/>
              </w:rPr>
              <w:t>支出摘要</w:t>
            </w:r>
          </w:p>
        </w:tc>
        <w:tc>
          <w:tcPr>
            <w:tcW w:w="154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753F802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sz w:val="18"/>
                <w:szCs w:val="18"/>
                <w:u w:val="none"/>
              </w:rPr>
            </w:pPr>
            <w:r>
              <w:rPr>
                <w:rFonts w:hint="eastAsia" w:ascii="仿宋_GB2312" w:hAnsi="仿宋_GB2312" w:eastAsia="仿宋_GB2312" w:cs="仿宋_GB2312"/>
                <w:b/>
                <w:bCs/>
                <w:i w:val="0"/>
                <w:iCs w:val="0"/>
                <w:color w:val="000000"/>
                <w:kern w:val="0"/>
                <w:sz w:val="18"/>
                <w:szCs w:val="18"/>
                <w:u w:val="none"/>
                <w:lang w:val="en-US" w:eastAsia="zh-CN" w:bidi="ar"/>
              </w:rPr>
              <w:t>已付金额</w:t>
            </w:r>
          </w:p>
        </w:tc>
        <w:tc>
          <w:tcPr>
            <w:tcW w:w="12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vAlign w:val="center"/>
          </w:tcPr>
          <w:p w14:paraId="44F769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支付时间</w:t>
            </w:r>
          </w:p>
        </w:tc>
        <w:tc>
          <w:tcPr>
            <w:tcW w:w="1540" w:type="dxa"/>
            <w:tcBorders>
              <w:top w:val="single" w:color="000000" w:sz="4" w:space="0"/>
              <w:left w:val="single" w:color="000000" w:sz="4" w:space="0"/>
              <w:bottom w:val="single" w:color="000000" w:sz="4" w:space="0"/>
              <w:right w:val="nil"/>
            </w:tcBorders>
            <w:shd w:val="clear" w:color="auto" w:fill="D7D7D7" w:themeFill="background1" w:themeFillShade="D8"/>
            <w:vAlign w:val="center"/>
          </w:tcPr>
          <w:p w14:paraId="044E4FC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000000"/>
                <w:kern w:val="0"/>
                <w:sz w:val="18"/>
                <w:szCs w:val="18"/>
                <w:u w:val="none"/>
                <w:lang w:val="en-US" w:eastAsia="zh-CN" w:bidi="ar"/>
              </w:rPr>
            </w:pPr>
            <w:r>
              <w:rPr>
                <w:rFonts w:hint="eastAsia" w:ascii="仿宋_GB2312" w:hAnsi="仿宋_GB2312" w:eastAsia="仿宋_GB2312" w:cs="仿宋_GB2312"/>
                <w:b/>
                <w:bCs/>
                <w:i w:val="0"/>
                <w:iCs w:val="0"/>
                <w:color w:val="000000"/>
                <w:kern w:val="0"/>
                <w:sz w:val="18"/>
                <w:szCs w:val="18"/>
                <w:u w:val="none"/>
                <w:lang w:val="en-US" w:eastAsia="zh-CN" w:bidi="ar"/>
              </w:rPr>
              <w:t>备注</w:t>
            </w:r>
          </w:p>
        </w:tc>
      </w:tr>
      <w:tr w14:paraId="4F97E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bottom w:val="single" w:color="000000" w:sz="4" w:space="0"/>
              <w:right w:val="single" w:color="000000" w:sz="4" w:space="0"/>
            </w:tcBorders>
            <w:shd w:val="clear" w:color="auto" w:fill="auto"/>
            <w:vAlign w:val="center"/>
          </w:tcPr>
          <w:p w14:paraId="2969FEF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w:t>
            </w:r>
          </w:p>
        </w:tc>
        <w:tc>
          <w:tcPr>
            <w:tcW w:w="280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6A77CF7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程银厂</w:t>
            </w:r>
          </w:p>
        </w:tc>
        <w:tc>
          <w:tcPr>
            <w:tcW w:w="137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2689A3E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拆迁机械费用</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C462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36,592.00</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10B8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2024.9.11</w:t>
            </w:r>
          </w:p>
        </w:tc>
        <w:tc>
          <w:tcPr>
            <w:tcW w:w="1540" w:type="dxa"/>
            <w:tcBorders>
              <w:top w:val="single" w:color="000000" w:sz="4" w:space="0"/>
              <w:left w:val="single" w:color="000000" w:sz="4" w:space="0"/>
              <w:bottom w:val="single" w:color="auto" w:sz="4" w:space="0"/>
              <w:right w:val="nil"/>
            </w:tcBorders>
            <w:shd w:val="clear" w:color="auto" w:fill="auto"/>
            <w:vAlign w:val="center"/>
          </w:tcPr>
          <w:p w14:paraId="5E963FA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附件依据不充分，无支付金额具体计算依据</w:t>
            </w:r>
          </w:p>
        </w:tc>
      </w:tr>
      <w:tr w14:paraId="22DE1A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bottom w:val="single" w:color="000000" w:sz="4" w:space="0"/>
              <w:right w:val="single" w:color="000000" w:sz="4" w:space="0"/>
            </w:tcBorders>
            <w:shd w:val="clear" w:color="auto" w:fill="auto"/>
            <w:vAlign w:val="center"/>
          </w:tcPr>
          <w:p w14:paraId="19BE6E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2</w:t>
            </w:r>
          </w:p>
        </w:tc>
        <w:tc>
          <w:tcPr>
            <w:tcW w:w="280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D1B8C2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宝鸡恒盛源通工程机械有限公司</w:t>
            </w:r>
          </w:p>
        </w:tc>
        <w:tc>
          <w:tcPr>
            <w:tcW w:w="137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1B34898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拆迁机械费用</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8B0AD">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11,575.00</w:t>
            </w:r>
          </w:p>
        </w:tc>
        <w:tc>
          <w:tcPr>
            <w:tcW w:w="1260" w:type="dxa"/>
            <w:tcBorders>
              <w:top w:val="single" w:color="000000" w:sz="4" w:space="0"/>
              <w:left w:val="single" w:color="000000" w:sz="4" w:space="0"/>
              <w:bottom w:val="single" w:color="auto" w:sz="4" w:space="0"/>
              <w:right w:val="single" w:color="000000" w:sz="4" w:space="0"/>
            </w:tcBorders>
            <w:shd w:val="clear" w:color="auto" w:fill="auto"/>
            <w:vAlign w:val="center"/>
          </w:tcPr>
          <w:p w14:paraId="3A80886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2024.12.3</w:t>
            </w:r>
          </w:p>
        </w:tc>
        <w:tc>
          <w:tcPr>
            <w:tcW w:w="1540" w:type="dxa"/>
            <w:tcBorders>
              <w:top w:val="single" w:color="auto" w:sz="4" w:space="0"/>
              <w:left w:val="single" w:color="000000" w:sz="4" w:space="0"/>
              <w:bottom w:val="single" w:color="auto" w:sz="4" w:space="0"/>
              <w:right w:val="nil"/>
            </w:tcBorders>
            <w:shd w:val="clear" w:color="auto" w:fill="auto"/>
            <w:vAlign w:val="center"/>
          </w:tcPr>
          <w:p w14:paraId="384BA572">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kern w:val="0"/>
                <w:sz w:val="18"/>
                <w:szCs w:val="18"/>
                <w:u w:val="none"/>
                <w:lang w:val="en-US" w:eastAsia="zh-CN" w:bidi="ar"/>
              </w:rPr>
            </w:pPr>
          </w:p>
        </w:tc>
      </w:tr>
      <w:tr w14:paraId="22538A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bottom w:val="single" w:color="000000" w:sz="4" w:space="0"/>
              <w:right w:val="single" w:color="000000" w:sz="4" w:space="0"/>
            </w:tcBorders>
            <w:shd w:val="clear" w:color="auto" w:fill="auto"/>
            <w:vAlign w:val="center"/>
          </w:tcPr>
          <w:p w14:paraId="061CF76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3</w:t>
            </w:r>
          </w:p>
        </w:tc>
        <w:tc>
          <w:tcPr>
            <w:tcW w:w="280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2B328F8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扶风县日新堂工程劳务有限公司</w:t>
            </w:r>
          </w:p>
        </w:tc>
        <w:tc>
          <w:tcPr>
            <w:tcW w:w="137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4AB7324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化粪池建设及人工拆除费</w:t>
            </w:r>
          </w:p>
        </w:tc>
        <w:tc>
          <w:tcPr>
            <w:tcW w:w="1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B4479">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115,000.00</w:t>
            </w:r>
          </w:p>
        </w:tc>
        <w:tc>
          <w:tcPr>
            <w:tcW w:w="1260" w:type="dxa"/>
            <w:tcBorders>
              <w:top w:val="single" w:color="auto" w:sz="4" w:space="0"/>
              <w:left w:val="single" w:color="000000" w:sz="4" w:space="0"/>
              <w:bottom w:val="single" w:color="000000" w:sz="4" w:space="0"/>
              <w:right w:val="single" w:color="000000" w:sz="4" w:space="0"/>
            </w:tcBorders>
            <w:shd w:val="clear" w:color="auto" w:fill="auto"/>
            <w:vAlign w:val="center"/>
          </w:tcPr>
          <w:p w14:paraId="052A62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2024.12.3</w:t>
            </w:r>
          </w:p>
        </w:tc>
        <w:tc>
          <w:tcPr>
            <w:tcW w:w="1540" w:type="dxa"/>
            <w:tcBorders>
              <w:top w:val="single" w:color="auto" w:sz="4" w:space="0"/>
              <w:left w:val="single" w:color="000000" w:sz="4" w:space="0"/>
              <w:bottom w:val="single" w:color="auto" w:sz="4" w:space="0"/>
              <w:right w:val="nil"/>
            </w:tcBorders>
            <w:shd w:val="clear" w:color="auto" w:fill="auto"/>
            <w:vAlign w:val="center"/>
          </w:tcPr>
          <w:p w14:paraId="6B94CD9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kern w:val="0"/>
                <w:sz w:val="18"/>
                <w:szCs w:val="18"/>
                <w:u w:val="none"/>
                <w:lang w:val="en-US" w:eastAsia="zh-CN" w:bidi="ar"/>
              </w:rPr>
            </w:pPr>
            <w:r>
              <w:rPr>
                <w:rFonts w:hint="eastAsia" w:ascii="仿宋_GB2312" w:hAnsi="仿宋_GB2312" w:eastAsia="仿宋_GB2312" w:cs="仿宋_GB2312"/>
                <w:i w:val="0"/>
                <w:iCs w:val="0"/>
                <w:color w:val="000000"/>
                <w:kern w:val="0"/>
                <w:sz w:val="18"/>
                <w:szCs w:val="18"/>
                <w:u w:val="none"/>
                <w:lang w:val="en-US" w:eastAsia="zh-CN" w:bidi="ar"/>
              </w:rPr>
              <w:t>发票上的领导签字未注明日期</w:t>
            </w:r>
          </w:p>
        </w:tc>
      </w:tr>
      <w:tr w14:paraId="15FFD9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bottom w:val="single" w:color="000000" w:sz="4" w:space="0"/>
              <w:right w:val="single" w:color="000000" w:sz="4" w:space="0"/>
            </w:tcBorders>
            <w:shd w:val="clear" w:color="auto" w:fill="auto"/>
            <w:noWrap/>
            <w:vAlign w:val="center"/>
          </w:tcPr>
          <w:p w14:paraId="7F2E285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4</w:t>
            </w:r>
          </w:p>
        </w:tc>
        <w:tc>
          <w:tcPr>
            <w:tcW w:w="280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C3E677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扶风县日新堂工程劳务有限公司</w:t>
            </w:r>
          </w:p>
        </w:tc>
        <w:tc>
          <w:tcPr>
            <w:tcW w:w="137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372E89E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sz w:val="18"/>
                <w:szCs w:val="18"/>
                <w:u w:val="none"/>
                <w:lang w:val="en-US" w:eastAsia="zh-CN"/>
              </w:rPr>
              <w:t>拆迁劳务及围墙砌筑费</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734C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139,000.00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434A0">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2025.1.7</w:t>
            </w:r>
          </w:p>
        </w:tc>
        <w:tc>
          <w:tcPr>
            <w:tcW w:w="1540" w:type="dxa"/>
            <w:tcBorders>
              <w:top w:val="single" w:color="000000" w:sz="4" w:space="0"/>
              <w:left w:val="single" w:color="000000" w:sz="4" w:space="0"/>
              <w:bottom w:val="single" w:color="auto" w:sz="4" w:space="0"/>
              <w:right w:val="nil"/>
            </w:tcBorders>
            <w:shd w:val="clear" w:color="auto" w:fill="auto"/>
            <w:noWrap/>
            <w:vAlign w:val="center"/>
          </w:tcPr>
          <w:p w14:paraId="0FBD68A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p>
        </w:tc>
      </w:tr>
      <w:tr w14:paraId="02A05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bottom w:val="single" w:color="000000" w:sz="4" w:space="0"/>
              <w:right w:val="single" w:color="000000" w:sz="4" w:space="0"/>
            </w:tcBorders>
            <w:shd w:val="clear" w:color="auto" w:fill="auto"/>
            <w:noWrap/>
            <w:vAlign w:val="center"/>
          </w:tcPr>
          <w:p w14:paraId="78BFB83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5</w:t>
            </w:r>
          </w:p>
        </w:tc>
        <w:tc>
          <w:tcPr>
            <w:tcW w:w="280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1D9BA3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宝鸡恒盛源通工程机械有限公司</w:t>
            </w:r>
          </w:p>
        </w:tc>
        <w:tc>
          <w:tcPr>
            <w:tcW w:w="137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5C2DF1C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sz w:val="18"/>
                <w:szCs w:val="18"/>
                <w:u w:val="none"/>
                <w:lang w:val="en-US" w:eastAsia="zh-CN"/>
              </w:rPr>
              <w:t>拆迁劳务费</w:t>
            </w: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54EF4">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19,000.00</w:t>
            </w:r>
          </w:p>
        </w:tc>
        <w:tc>
          <w:tcPr>
            <w:tcW w:w="126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0A7B684A">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2025.1.17</w:t>
            </w:r>
          </w:p>
        </w:tc>
        <w:tc>
          <w:tcPr>
            <w:tcW w:w="1540" w:type="dxa"/>
            <w:tcBorders>
              <w:top w:val="single" w:color="auto" w:sz="4" w:space="0"/>
              <w:left w:val="single" w:color="000000" w:sz="4" w:space="0"/>
              <w:bottom w:val="single" w:color="auto" w:sz="4" w:space="0"/>
              <w:right w:val="nil"/>
            </w:tcBorders>
            <w:shd w:val="clear" w:color="auto" w:fill="auto"/>
            <w:noWrap/>
            <w:vAlign w:val="center"/>
          </w:tcPr>
          <w:p w14:paraId="5DDBA73C">
            <w:pPr>
              <w:keepNext w:val="0"/>
              <w:keepLines w:val="0"/>
              <w:pageBreakBefore w:val="0"/>
              <w:widowControl/>
              <w:kinsoku/>
              <w:wordWrap/>
              <w:overflowPunct/>
              <w:topLinePunct w:val="0"/>
              <w:autoSpaceDE/>
              <w:autoSpaceDN/>
              <w:bidi w:val="0"/>
              <w:adjustRightInd/>
              <w:snapToGrid/>
              <w:spacing w:line="260" w:lineRule="exact"/>
              <w:jc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未附合同</w:t>
            </w:r>
          </w:p>
        </w:tc>
      </w:tr>
      <w:tr w14:paraId="36F5B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right w:val="single" w:color="000000" w:sz="4" w:space="0"/>
            </w:tcBorders>
            <w:shd w:val="clear" w:color="auto" w:fill="auto"/>
            <w:noWrap/>
            <w:vAlign w:val="center"/>
          </w:tcPr>
          <w:p w14:paraId="237D1506">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6</w:t>
            </w:r>
          </w:p>
        </w:tc>
        <w:tc>
          <w:tcPr>
            <w:tcW w:w="2800" w:type="dxa"/>
            <w:tcBorders>
              <w:top w:val="single" w:color="000000" w:sz="4" w:space="0"/>
              <w:left w:val="single" w:color="000000" w:sz="4" w:space="0"/>
              <w:right w:val="single" w:color="auto" w:sz="4" w:space="0"/>
            </w:tcBorders>
            <w:shd w:val="clear" w:color="auto" w:fill="auto"/>
            <w:noWrap/>
            <w:vAlign w:val="center"/>
          </w:tcPr>
          <w:p w14:paraId="5258BEB1">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扶风县日新堂工程劳务有限公司</w:t>
            </w:r>
          </w:p>
        </w:tc>
        <w:tc>
          <w:tcPr>
            <w:tcW w:w="1370" w:type="dxa"/>
            <w:tcBorders>
              <w:top w:val="single" w:color="000000" w:sz="4" w:space="0"/>
              <w:left w:val="single" w:color="auto" w:sz="4" w:space="0"/>
              <w:right w:val="single" w:color="000000" w:sz="4" w:space="0"/>
            </w:tcBorders>
            <w:shd w:val="clear" w:color="auto" w:fill="auto"/>
            <w:noWrap/>
            <w:vAlign w:val="center"/>
          </w:tcPr>
          <w:p w14:paraId="5D5AFA6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sz w:val="18"/>
                <w:szCs w:val="18"/>
                <w:u w:val="none"/>
                <w:lang w:val="en-US" w:eastAsia="zh-CN"/>
              </w:rPr>
              <w:t>地面硬化及排水管道恢复</w:t>
            </w:r>
          </w:p>
        </w:tc>
        <w:tc>
          <w:tcPr>
            <w:tcW w:w="1540" w:type="dxa"/>
            <w:tcBorders>
              <w:top w:val="single" w:color="000000" w:sz="4" w:space="0"/>
              <w:left w:val="single" w:color="000000" w:sz="4" w:space="0"/>
              <w:right w:val="single" w:color="000000" w:sz="4" w:space="0"/>
            </w:tcBorders>
            <w:shd w:val="clear" w:color="auto" w:fill="auto"/>
            <w:noWrap/>
            <w:vAlign w:val="center"/>
          </w:tcPr>
          <w:p w14:paraId="7A14403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eastAsia="zh-CN"/>
              </w:rPr>
            </w:pPr>
            <w:r>
              <w:rPr>
                <w:rFonts w:hint="eastAsia" w:ascii="仿宋_GB2312" w:hAnsi="仿宋_GB2312" w:eastAsia="仿宋_GB2312" w:cs="仿宋_GB2312"/>
                <w:i w:val="0"/>
                <w:iCs w:val="0"/>
                <w:color w:val="000000"/>
                <w:sz w:val="18"/>
                <w:szCs w:val="18"/>
                <w:u w:val="none"/>
                <w:lang w:val="en-US" w:eastAsia="zh-CN"/>
              </w:rPr>
              <w:t>146,030.00</w:t>
            </w:r>
          </w:p>
        </w:tc>
        <w:tc>
          <w:tcPr>
            <w:tcW w:w="1260" w:type="dxa"/>
            <w:tcBorders>
              <w:top w:val="single" w:color="auto" w:sz="4" w:space="0"/>
              <w:left w:val="single" w:color="000000" w:sz="4" w:space="0"/>
              <w:right w:val="single" w:color="000000" w:sz="4" w:space="0"/>
            </w:tcBorders>
            <w:shd w:val="clear" w:color="auto" w:fill="auto"/>
            <w:noWrap/>
            <w:vAlign w:val="center"/>
          </w:tcPr>
          <w:p w14:paraId="43A2BDB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i w:val="0"/>
                <w:iCs w:val="0"/>
                <w:color w:val="000000"/>
                <w:sz w:val="18"/>
                <w:szCs w:val="18"/>
                <w:u w:val="none"/>
                <w:lang w:val="en-US"/>
              </w:rPr>
            </w:pPr>
            <w:r>
              <w:rPr>
                <w:rFonts w:hint="eastAsia" w:ascii="仿宋_GB2312" w:hAnsi="仿宋_GB2312" w:eastAsia="仿宋_GB2312" w:cs="仿宋_GB2312"/>
                <w:i w:val="0"/>
                <w:iCs w:val="0"/>
                <w:color w:val="000000"/>
                <w:kern w:val="0"/>
                <w:sz w:val="18"/>
                <w:szCs w:val="18"/>
                <w:u w:val="none"/>
                <w:lang w:val="en-US" w:eastAsia="zh-CN" w:bidi="ar"/>
              </w:rPr>
              <w:t>2025.4.14</w:t>
            </w:r>
          </w:p>
        </w:tc>
        <w:tc>
          <w:tcPr>
            <w:tcW w:w="1540" w:type="dxa"/>
            <w:tcBorders>
              <w:top w:val="single" w:color="auto" w:sz="4" w:space="0"/>
              <w:left w:val="single" w:color="000000" w:sz="4" w:space="0"/>
              <w:bottom w:val="single" w:color="auto" w:sz="4" w:space="0"/>
              <w:right w:val="nil"/>
            </w:tcBorders>
            <w:shd w:val="clear" w:color="auto" w:fill="auto"/>
            <w:noWrap/>
            <w:vAlign w:val="center"/>
          </w:tcPr>
          <w:p w14:paraId="5A353B72">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i w:val="0"/>
                <w:iCs w:val="0"/>
                <w:color w:val="000000"/>
                <w:sz w:val="18"/>
                <w:szCs w:val="18"/>
                <w:u w:val="none"/>
              </w:rPr>
            </w:pPr>
          </w:p>
        </w:tc>
      </w:tr>
      <w:tr w14:paraId="654FB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7" w:hRule="exact"/>
        </w:trPr>
        <w:tc>
          <w:tcPr>
            <w:tcW w:w="640" w:type="dxa"/>
            <w:tcBorders>
              <w:top w:val="single" w:color="000000" w:sz="4" w:space="0"/>
              <w:left w:val="nil"/>
              <w:bottom w:val="single" w:color="000000" w:sz="4" w:space="0"/>
              <w:right w:val="single" w:color="000000" w:sz="4" w:space="0"/>
            </w:tcBorders>
            <w:shd w:val="clear" w:color="auto" w:fill="auto"/>
            <w:noWrap/>
            <w:vAlign w:val="center"/>
          </w:tcPr>
          <w:p w14:paraId="5FC9099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000000"/>
                <w:sz w:val="18"/>
                <w:szCs w:val="18"/>
                <w:u w:val="none"/>
                <w:lang w:val="en-US" w:eastAsia="zh-CN"/>
              </w:rPr>
            </w:pPr>
          </w:p>
        </w:tc>
        <w:tc>
          <w:tcPr>
            <w:tcW w:w="2800" w:type="dxa"/>
            <w:tcBorders>
              <w:top w:val="single" w:color="000000" w:sz="4" w:space="0"/>
              <w:left w:val="single" w:color="000000" w:sz="4" w:space="0"/>
              <w:bottom w:val="single" w:color="000000" w:sz="4" w:space="0"/>
              <w:right w:val="single" w:color="auto" w:sz="4" w:space="0"/>
            </w:tcBorders>
            <w:shd w:val="clear" w:color="auto" w:fill="auto"/>
            <w:noWrap/>
            <w:vAlign w:val="center"/>
          </w:tcPr>
          <w:p w14:paraId="3CC78BD8">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lang w:val="en-US" w:eastAsia="zh-CN"/>
              </w:rPr>
            </w:pPr>
            <w:r>
              <w:rPr>
                <w:rFonts w:hint="eastAsia" w:ascii="仿宋_GB2312" w:hAnsi="仿宋_GB2312" w:eastAsia="仿宋_GB2312" w:cs="仿宋_GB2312"/>
                <w:b/>
                <w:bCs/>
                <w:i w:val="0"/>
                <w:iCs w:val="0"/>
                <w:color w:val="000000"/>
                <w:sz w:val="18"/>
                <w:szCs w:val="18"/>
                <w:u w:val="none"/>
                <w:lang w:val="en-US" w:eastAsia="zh-CN"/>
              </w:rPr>
              <w:t>合计</w:t>
            </w:r>
          </w:p>
        </w:tc>
        <w:tc>
          <w:tcPr>
            <w:tcW w:w="1370" w:type="dxa"/>
            <w:tcBorders>
              <w:top w:val="single" w:color="000000" w:sz="4" w:space="0"/>
              <w:left w:val="single" w:color="auto" w:sz="4" w:space="0"/>
              <w:bottom w:val="single" w:color="000000" w:sz="4" w:space="0"/>
              <w:right w:val="single" w:color="000000" w:sz="4" w:space="0"/>
            </w:tcBorders>
            <w:shd w:val="clear" w:color="auto" w:fill="auto"/>
            <w:noWrap/>
            <w:vAlign w:val="center"/>
          </w:tcPr>
          <w:p w14:paraId="7F903F4E">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rPr>
            </w:pPr>
          </w:p>
        </w:tc>
        <w:tc>
          <w:tcPr>
            <w:tcW w:w="15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A840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bCs/>
                <w:i w:val="0"/>
                <w:iCs w:val="0"/>
                <w:color w:val="000000"/>
                <w:kern w:val="2"/>
                <w:sz w:val="18"/>
                <w:szCs w:val="18"/>
                <w:u w:val="none"/>
                <w:lang w:val="en-US" w:eastAsia="zh-CN" w:bidi="ar-SA"/>
              </w:rPr>
            </w:pPr>
            <w:r>
              <w:rPr>
                <w:rFonts w:hint="eastAsia" w:ascii="仿宋_GB2312" w:hAnsi="仿宋_GB2312" w:eastAsia="仿宋_GB2312" w:cs="仿宋_GB2312"/>
                <w:b/>
                <w:bCs/>
                <w:i w:val="0"/>
                <w:iCs w:val="0"/>
                <w:color w:val="000000"/>
                <w:sz w:val="18"/>
                <w:szCs w:val="18"/>
                <w:u w:val="none"/>
                <w:shd w:val="clear"/>
                <w:lang w:val="en-US" w:eastAsia="zh-CN"/>
              </w:rPr>
              <w:fldChar w:fldCharType="begin"/>
            </w:r>
            <w:r>
              <w:rPr>
                <w:rFonts w:hint="eastAsia" w:ascii="仿宋_GB2312" w:hAnsi="仿宋_GB2312" w:eastAsia="仿宋_GB2312" w:cs="仿宋_GB2312"/>
                <w:b/>
                <w:bCs/>
                <w:i w:val="0"/>
                <w:iCs w:val="0"/>
                <w:color w:val="000000"/>
                <w:sz w:val="18"/>
                <w:szCs w:val="18"/>
                <w:u w:val="none"/>
                <w:shd w:val="clear"/>
                <w:lang w:val="en-US" w:eastAsia="zh-CN"/>
              </w:rPr>
              <w:instrText xml:space="preserve"> = sum(D2:D7) \* MERGEFORMAT </w:instrText>
            </w:r>
            <w:r>
              <w:rPr>
                <w:rFonts w:hint="eastAsia" w:ascii="仿宋_GB2312" w:hAnsi="仿宋_GB2312" w:eastAsia="仿宋_GB2312" w:cs="仿宋_GB2312"/>
                <w:b/>
                <w:bCs/>
                <w:i w:val="0"/>
                <w:iCs w:val="0"/>
                <w:color w:val="000000"/>
                <w:sz w:val="18"/>
                <w:szCs w:val="18"/>
                <w:u w:val="none"/>
                <w:shd w:val="clear"/>
                <w:lang w:val="en-US" w:eastAsia="zh-CN"/>
              </w:rPr>
              <w:fldChar w:fldCharType="separate"/>
            </w:r>
            <w:r>
              <w:rPr>
                <w:rFonts w:hint="eastAsia" w:ascii="仿宋_GB2312" w:hAnsi="仿宋_GB2312" w:eastAsia="仿宋_GB2312" w:cs="仿宋_GB2312"/>
                <w:b/>
                <w:bCs/>
                <w:i w:val="0"/>
                <w:iCs w:val="0"/>
                <w:color w:val="000000"/>
                <w:sz w:val="18"/>
                <w:szCs w:val="18"/>
                <w:u w:val="none"/>
                <w:shd w:val="clear"/>
                <w:lang w:val="en-US" w:eastAsia="zh-CN"/>
              </w:rPr>
              <w:t>467,197</w:t>
            </w:r>
            <w:r>
              <w:rPr>
                <w:rFonts w:hint="eastAsia" w:ascii="仿宋_GB2312" w:hAnsi="仿宋_GB2312" w:eastAsia="仿宋_GB2312" w:cs="仿宋_GB2312"/>
                <w:b/>
                <w:bCs/>
                <w:i w:val="0"/>
                <w:iCs w:val="0"/>
                <w:color w:val="000000"/>
                <w:sz w:val="18"/>
                <w:szCs w:val="18"/>
                <w:u w:val="none"/>
                <w:shd w:val="clear"/>
                <w:lang w:val="en-US" w:eastAsia="zh-CN"/>
              </w:rPr>
              <w:fldChar w:fldCharType="end"/>
            </w:r>
            <w:r>
              <w:rPr>
                <w:rFonts w:hint="eastAsia" w:ascii="仿宋_GB2312" w:hAnsi="仿宋_GB2312" w:eastAsia="仿宋_GB2312" w:cs="仿宋_GB2312"/>
                <w:b/>
                <w:bCs/>
                <w:i w:val="0"/>
                <w:iCs w:val="0"/>
                <w:color w:val="000000"/>
                <w:sz w:val="18"/>
                <w:szCs w:val="18"/>
                <w:u w:val="none"/>
                <w:shd w:val="clear"/>
                <w:lang w:val="en-US" w:eastAsia="zh-CN"/>
              </w:rPr>
              <w:t>.00</w:t>
            </w:r>
          </w:p>
        </w:tc>
        <w:tc>
          <w:tcPr>
            <w:tcW w:w="12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B9C7F">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rPr>
            </w:pPr>
          </w:p>
        </w:tc>
        <w:tc>
          <w:tcPr>
            <w:tcW w:w="1540" w:type="dxa"/>
            <w:tcBorders>
              <w:top w:val="single" w:color="000000" w:sz="4" w:space="0"/>
              <w:left w:val="single" w:color="000000" w:sz="4" w:space="0"/>
              <w:bottom w:val="single" w:color="000000" w:sz="4" w:space="0"/>
              <w:right w:val="nil"/>
            </w:tcBorders>
            <w:shd w:val="clear" w:color="auto" w:fill="auto"/>
            <w:noWrap/>
            <w:vAlign w:val="center"/>
          </w:tcPr>
          <w:p w14:paraId="65E14B8E">
            <w:pPr>
              <w:keepNext w:val="0"/>
              <w:keepLines w:val="0"/>
              <w:pageBreakBefore w:val="0"/>
              <w:widowControl/>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bCs/>
                <w:i w:val="0"/>
                <w:iCs w:val="0"/>
                <w:color w:val="000000"/>
                <w:sz w:val="18"/>
                <w:szCs w:val="18"/>
                <w:u w:val="none"/>
              </w:rPr>
            </w:pPr>
          </w:p>
        </w:tc>
      </w:tr>
    </w:tbl>
    <w:p w14:paraId="3B77CEF1">
      <w:pPr>
        <w:keepNext w:val="0"/>
        <w:keepLines w:val="0"/>
        <w:pageBreakBefore w:val="0"/>
        <w:widowControl w:val="0"/>
        <w:kinsoku/>
        <w:wordWrap/>
        <w:overflowPunct/>
        <w:topLinePunct w:val="0"/>
        <w:autoSpaceDE/>
        <w:autoSpaceDN/>
        <w:bidi w:val="0"/>
        <w:adjustRightInd/>
        <w:snapToGrid/>
        <w:spacing w:before="165" w:beforeLines="50" w:line="560" w:lineRule="exact"/>
        <w:ind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（五）项目实施情况</w:t>
      </w:r>
    </w:p>
    <w:p w14:paraId="30B57871">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2023年9月26日晚，受接连多日阴雨天气影响，导致绛帐镇凤鸣村中坡四组沿宝鸡峡渭高干渠道居住的4户农户后院发生塌陷，34户后院出现不同程度的安全隐患。为保障沿宝鸡峡渭高干渠沿岸农户生命财产安全，拟对该隐患地段进行排险除患。</w:t>
      </w:r>
    </w:p>
    <w:p w14:paraId="644CAF92">
      <w:pPr>
        <w:keepNext w:val="0"/>
        <w:keepLines w:val="0"/>
        <w:pageBreakBefore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项目启动后，成立专项工作小组，对凤鸣四组涉及垮塌地段房屋进行详细摸排登记，制定拆除方案。拆除阶段具体时间2023年10月-2024年12月。</w:t>
      </w:r>
    </w:p>
    <w:p w14:paraId="56F20C0D">
      <w:pPr>
        <w:keepNext w:val="0"/>
        <w:keepLines w:val="0"/>
        <w:pageBreakBefore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拆除工作完成后，迅速开展恢复建设。组织专业施工队伍，按照要求依次进行围墙砌筑、后院地面硬化、道路扩宽及排污管道铺设等工程。恢复阶段具体时间2024年10月-2025年3月。</w:t>
      </w:r>
    </w:p>
    <w:p w14:paraId="6A155D3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（六）项目绩效目标及完成情况</w:t>
      </w:r>
    </w:p>
    <w:p w14:paraId="4FC390C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Calibri" w:eastAsia="仿宋_GB2312" w:cs="仿宋_GB2312"/>
          <w:b/>
          <w:bCs/>
          <w:color w:val="auto"/>
          <w:kern w:val="2"/>
          <w:sz w:val="28"/>
          <w:szCs w:val="28"/>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项目从2023年10月起实施，截至评价日</w:t>
      </w:r>
      <w:r>
        <w:rPr>
          <w:rFonts w:hint="eastAsia" w:ascii="仿宋_GB2312" w:hAnsi="仿宋_GB2312" w:eastAsia="仿宋_GB2312" w:cs="仿宋_GB2312"/>
          <w:kern w:val="2"/>
          <w:sz w:val="32"/>
          <w:szCs w:val="32"/>
          <w:highlight w:val="none"/>
          <w:lang w:val="en-US" w:eastAsia="zh-CN" w:bidi="ar-SA"/>
        </w:rPr>
        <w:t>，已全部完成了项目主要建设内容及绩效目标任务</w:t>
      </w:r>
      <w:r>
        <w:rPr>
          <w:rFonts w:hint="eastAsia" w:ascii="仿宋_GB2312" w:hAnsi="仿宋_GB2312" w:eastAsia="仿宋_GB2312" w:cs="仿宋_GB2312"/>
          <w:color w:val="auto"/>
          <w:kern w:val="2"/>
          <w:sz w:val="32"/>
          <w:szCs w:val="32"/>
          <w:highlight w:val="none"/>
          <w:lang w:val="en-US" w:eastAsia="zh-CN" w:bidi="ar-SA"/>
        </w:rPr>
        <w:t>。项目主要绩效目标完成情况详见表4。</w:t>
      </w:r>
    </w:p>
    <w:p w14:paraId="675CD535">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eastAsia" w:ascii="仿宋_GB2312" w:hAnsi="Calibri" w:eastAsia="仿宋_GB2312" w:cs="仿宋_GB2312"/>
          <w:b/>
          <w:bCs/>
          <w:color w:val="auto"/>
          <w:kern w:val="2"/>
          <w:sz w:val="28"/>
          <w:szCs w:val="28"/>
          <w:highlight w:val="none"/>
          <w:lang w:val="en-US" w:eastAsia="zh-CN" w:bidi="ar-SA"/>
        </w:rPr>
      </w:pPr>
      <w:r>
        <w:rPr>
          <w:rFonts w:hint="eastAsia" w:ascii="仿宋_GB2312" w:hAnsi="Calibri" w:eastAsia="仿宋_GB2312" w:cs="仿宋_GB2312"/>
          <w:b/>
          <w:bCs/>
          <w:color w:val="auto"/>
          <w:kern w:val="2"/>
          <w:sz w:val="28"/>
          <w:szCs w:val="28"/>
          <w:highlight w:val="none"/>
          <w:lang w:val="en-US" w:eastAsia="zh-CN" w:bidi="ar-SA"/>
        </w:rPr>
        <w:t>表4-1  项目主要建设内容、期限完成情况表</w:t>
      </w:r>
    </w:p>
    <w:tbl>
      <w:tblPr>
        <w:tblStyle w:val="16"/>
        <w:tblW w:w="912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5"/>
        <w:gridCol w:w="1131"/>
        <w:gridCol w:w="3069"/>
        <w:gridCol w:w="3253"/>
        <w:gridCol w:w="976"/>
      </w:tblGrid>
      <w:tr w14:paraId="522F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87" w:hRule="atLeast"/>
        </w:trPr>
        <w:tc>
          <w:tcPr>
            <w:tcW w:w="695" w:type="dxa"/>
            <w:tcBorders>
              <w:left w:val="nil"/>
            </w:tcBorders>
            <w:shd w:val="clear" w:color="auto" w:fill="D7D7D7" w:themeFill="background1" w:themeFillShade="D8"/>
            <w:vAlign w:val="center"/>
          </w:tcPr>
          <w:p w14:paraId="111490BB">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序号</w:t>
            </w:r>
          </w:p>
        </w:tc>
        <w:tc>
          <w:tcPr>
            <w:tcW w:w="1131" w:type="dxa"/>
            <w:tcBorders>
              <w:left w:val="single" w:color="auto" w:sz="4" w:space="0"/>
              <w:right w:val="single" w:color="000000" w:sz="4" w:space="0"/>
            </w:tcBorders>
            <w:shd w:val="clear" w:color="auto" w:fill="D7D7D7" w:themeFill="background1" w:themeFillShade="D8"/>
            <w:vAlign w:val="center"/>
          </w:tcPr>
          <w:p w14:paraId="7A9B491F">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项目名称</w:t>
            </w:r>
          </w:p>
        </w:tc>
        <w:tc>
          <w:tcPr>
            <w:tcW w:w="3069" w:type="dxa"/>
            <w:tcBorders>
              <w:left w:val="single" w:color="000000" w:sz="4" w:space="0"/>
            </w:tcBorders>
            <w:shd w:val="clear" w:color="auto" w:fill="D7D7D7" w:themeFill="background1" w:themeFillShade="D8"/>
            <w:vAlign w:val="center"/>
          </w:tcPr>
          <w:p w14:paraId="356856A9">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计划情况</w:t>
            </w:r>
          </w:p>
        </w:tc>
        <w:tc>
          <w:tcPr>
            <w:tcW w:w="3253" w:type="dxa"/>
            <w:shd w:val="clear" w:color="auto" w:fill="D7D7D7" w:themeFill="background1" w:themeFillShade="D8"/>
            <w:vAlign w:val="center"/>
          </w:tcPr>
          <w:p w14:paraId="2D94D3E7">
            <w:pPr>
              <w:pStyle w:val="11"/>
              <w:bidi w:val="0"/>
              <w:jc w:val="center"/>
              <w:rPr>
                <w:rFonts w:hint="eastAsia" w:ascii="仿宋_GB2312" w:hAnsi="仿宋_GB2312" w:eastAsia="仿宋_GB2312" w:cs="仿宋_GB2312"/>
                <w:b/>
                <w:bCs/>
                <w:color w:val="auto"/>
                <w:sz w:val="21"/>
                <w:szCs w:val="21"/>
                <w:highlight w:val="none"/>
                <w:lang w:val="en-US" w:eastAsia="zh-CN"/>
              </w:rPr>
            </w:pPr>
            <w:r>
              <w:rPr>
                <w:rFonts w:hint="eastAsia" w:ascii="仿宋_GB2312" w:hAnsi="仿宋_GB2312" w:eastAsia="仿宋_GB2312" w:cs="仿宋_GB2312"/>
                <w:b/>
                <w:bCs/>
                <w:color w:val="auto"/>
                <w:sz w:val="21"/>
                <w:szCs w:val="21"/>
                <w:highlight w:val="none"/>
                <w:lang w:val="en-US" w:eastAsia="zh-CN"/>
              </w:rPr>
              <w:t>实际完成情况</w:t>
            </w:r>
          </w:p>
        </w:tc>
        <w:tc>
          <w:tcPr>
            <w:tcW w:w="976" w:type="dxa"/>
            <w:tcBorders>
              <w:right w:val="nil"/>
            </w:tcBorders>
            <w:shd w:val="clear" w:color="auto" w:fill="D7D7D7" w:themeFill="background1" w:themeFillShade="D8"/>
            <w:vAlign w:val="center"/>
          </w:tcPr>
          <w:p w14:paraId="752F961B">
            <w:pPr>
              <w:pStyle w:val="11"/>
              <w:bidi w:val="0"/>
              <w:jc w:val="center"/>
              <w:rPr>
                <w:rFonts w:hint="default"/>
                <w:b/>
                <w:bCs/>
                <w:color w:val="auto"/>
                <w:sz w:val="18"/>
                <w:szCs w:val="18"/>
                <w:highlight w:val="none"/>
                <w:lang w:val="en-US" w:eastAsia="zh-CN"/>
              </w:rPr>
            </w:pPr>
            <w:r>
              <w:rPr>
                <w:rFonts w:hint="eastAsia" w:ascii="仿宋_GB2312" w:hAnsi="仿宋_GB2312" w:eastAsia="仿宋_GB2312" w:cs="仿宋_GB2312"/>
                <w:b/>
                <w:bCs/>
                <w:color w:val="auto"/>
                <w:sz w:val="21"/>
                <w:szCs w:val="21"/>
                <w:highlight w:val="none"/>
                <w:lang w:val="en-US" w:eastAsia="zh-CN"/>
              </w:rPr>
              <w:t>备注</w:t>
            </w:r>
          </w:p>
        </w:tc>
      </w:tr>
      <w:tr w14:paraId="52056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95" w:type="dxa"/>
            <w:tcBorders>
              <w:left w:val="nil"/>
              <w:bottom w:val="single" w:color="000000" w:sz="4" w:space="0"/>
            </w:tcBorders>
            <w:shd w:val="clear" w:color="auto" w:fill="auto"/>
            <w:vAlign w:val="center"/>
          </w:tcPr>
          <w:p w14:paraId="7DC07AC7">
            <w:pPr>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w:t>
            </w:r>
          </w:p>
        </w:tc>
        <w:tc>
          <w:tcPr>
            <w:tcW w:w="1131" w:type="dxa"/>
            <w:tcBorders>
              <w:left w:val="single" w:color="auto" w:sz="4" w:space="0"/>
              <w:bottom w:val="single" w:color="000000" w:sz="4" w:space="0"/>
              <w:right w:val="single" w:color="000000" w:sz="4" w:space="0"/>
            </w:tcBorders>
            <w:shd w:val="clear" w:color="auto" w:fill="auto"/>
            <w:vAlign w:val="center"/>
          </w:tcPr>
          <w:p w14:paraId="7504D566">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建设内容</w:t>
            </w:r>
          </w:p>
        </w:tc>
        <w:tc>
          <w:tcPr>
            <w:tcW w:w="3069" w:type="dxa"/>
            <w:tcBorders>
              <w:left w:val="single" w:color="000000" w:sz="4" w:space="0"/>
              <w:bottom w:val="single" w:color="000000" w:sz="4" w:space="0"/>
            </w:tcBorders>
            <w:shd w:val="clear" w:color="auto" w:fill="auto"/>
            <w:vAlign w:val="center"/>
          </w:tcPr>
          <w:p w14:paraId="31D79BDA">
            <w:pPr>
              <w:pStyle w:val="11"/>
              <w:bidi w:val="0"/>
              <w:jc w:val="left"/>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拆除工作：完成38户房屋及附属设施拆除，拆除房屋76间（1140平方米）、厕所38间（570平方米），妥善处理农用饮水管道、太阳能热水器等设施设备拆除。（2）恢复建设：完成后围墙砌筑360米、农户界墙砌筑152米，硬化农户后院地面800平方米，扩宽道路170平方米，铺设农户集中排污管道360米。</w:t>
            </w:r>
          </w:p>
        </w:tc>
        <w:tc>
          <w:tcPr>
            <w:tcW w:w="3253" w:type="dxa"/>
            <w:tcBorders>
              <w:bottom w:val="single" w:color="000000" w:sz="4" w:space="0"/>
            </w:tcBorders>
            <w:shd w:val="clear" w:color="auto" w:fill="auto"/>
            <w:vAlign w:val="center"/>
          </w:tcPr>
          <w:p w14:paraId="23300CDD">
            <w:pPr>
              <w:pStyle w:val="11"/>
              <w:bidi w:val="0"/>
              <w:jc w:val="left"/>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1）拆除工作：拆除房屋76间（1140平方米）、厕所38间（570平方米）、农用饮水管道330米、太阳能热水器18台、蹲便及坐便器47个、灶房4间及相关用具，砍伐树木28棵，清理拆除垃圾3000余立方；（2）恢复建设：完成后围墙砌筑360米、农户界墙砌筑152米、后院地面硬化800平方米、道路扩宽170平方米、集中排污管道铺设360米。</w:t>
            </w:r>
          </w:p>
        </w:tc>
        <w:tc>
          <w:tcPr>
            <w:tcW w:w="976" w:type="dxa"/>
            <w:tcBorders>
              <w:bottom w:val="single" w:color="000000" w:sz="4" w:space="0"/>
              <w:right w:val="nil"/>
            </w:tcBorders>
            <w:shd w:val="clear" w:color="auto" w:fill="auto"/>
            <w:vAlign w:val="center"/>
          </w:tcPr>
          <w:p w14:paraId="15297133">
            <w:pPr>
              <w:pStyle w:val="11"/>
              <w:bidi w:val="0"/>
              <w:jc w:val="center"/>
              <w:rPr>
                <w:rFonts w:hint="default"/>
                <w:color w:val="auto"/>
                <w:sz w:val="18"/>
                <w:szCs w:val="18"/>
                <w:highlight w:val="none"/>
                <w:lang w:val="en-US" w:eastAsia="zh-CN"/>
              </w:rPr>
            </w:pPr>
            <w:r>
              <w:rPr>
                <w:rFonts w:hint="eastAsia" w:ascii="仿宋_GB2312" w:hAnsi="仿宋_GB2312" w:eastAsia="仿宋_GB2312" w:cs="仿宋_GB2312"/>
                <w:color w:val="auto"/>
                <w:sz w:val="21"/>
                <w:szCs w:val="21"/>
                <w:highlight w:val="none"/>
                <w:lang w:val="en-US" w:eastAsia="zh-CN"/>
              </w:rPr>
              <w:t>已完成</w:t>
            </w:r>
          </w:p>
        </w:tc>
      </w:tr>
      <w:tr w14:paraId="50EC7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695" w:type="dxa"/>
            <w:tcBorders>
              <w:top w:val="single" w:color="000000" w:sz="4" w:space="0"/>
              <w:left w:val="nil"/>
              <w:bottom w:val="single" w:color="000000" w:sz="4" w:space="0"/>
            </w:tcBorders>
            <w:shd w:val="clear" w:color="auto" w:fill="auto"/>
            <w:vAlign w:val="center"/>
          </w:tcPr>
          <w:p w14:paraId="02480593">
            <w:pPr>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w:t>
            </w:r>
          </w:p>
        </w:tc>
        <w:tc>
          <w:tcPr>
            <w:tcW w:w="1131" w:type="dxa"/>
            <w:tcBorders>
              <w:top w:val="single" w:color="000000" w:sz="4" w:space="0"/>
              <w:left w:val="single" w:color="auto" w:sz="4" w:space="0"/>
              <w:bottom w:val="single" w:color="000000" w:sz="4" w:space="0"/>
              <w:right w:val="single" w:color="000000" w:sz="4" w:space="0"/>
            </w:tcBorders>
            <w:shd w:val="clear" w:color="auto" w:fill="auto"/>
            <w:vAlign w:val="center"/>
          </w:tcPr>
          <w:p w14:paraId="5F36A2B6">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建设工期</w:t>
            </w:r>
          </w:p>
        </w:tc>
        <w:tc>
          <w:tcPr>
            <w:tcW w:w="3069" w:type="dxa"/>
            <w:tcBorders>
              <w:top w:val="single" w:color="000000" w:sz="4" w:space="0"/>
              <w:left w:val="single" w:color="000000" w:sz="4" w:space="0"/>
              <w:bottom w:val="single" w:color="000000" w:sz="4" w:space="0"/>
            </w:tcBorders>
            <w:shd w:val="clear" w:color="auto" w:fill="auto"/>
            <w:vAlign w:val="center"/>
          </w:tcPr>
          <w:p w14:paraId="534171A8">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2023年10月-2024年4月</w:t>
            </w:r>
          </w:p>
        </w:tc>
        <w:tc>
          <w:tcPr>
            <w:tcW w:w="3253" w:type="dxa"/>
            <w:tcBorders>
              <w:top w:val="single" w:color="000000" w:sz="4" w:space="0"/>
              <w:bottom w:val="single" w:color="000000" w:sz="4" w:space="0"/>
            </w:tcBorders>
            <w:shd w:val="clear" w:color="auto" w:fill="auto"/>
            <w:vAlign w:val="center"/>
          </w:tcPr>
          <w:p w14:paraId="79C3918B">
            <w:pPr>
              <w:pStyle w:val="11"/>
              <w:bidi w:val="0"/>
              <w:jc w:val="center"/>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2023年10月-2025年3月</w:t>
            </w:r>
          </w:p>
        </w:tc>
        <w:tc>
          <w:tcPr>
            <w:tcW w:w="976" w:type="dxa"/>
            <w:tcBorders>
              <w:top w:val="single" w:color="000000" w:sz="4" w:space="0"/>
              <w:bottom w:val="single" w:color="000000" w:sz="4" w:space="0"/>
              <w:right w:val="nil"/>
            </w:tcBorders>
            <w:shd w:val="clear" w:color="auto" w:fill="auto"/>
            <w:vAlign w:val="center"/>
          </w:tcPr>
          <w:p w14:paraId="0E828E2E">
            <w:pPr>
              <w:pStyle w:val="11"/>
              <w:bidi w:val="0"/>
              <w:jc w:val="center"/>
              <w:rPr>
                <w:rFonts w:hint="default"/>
                <w:color w:val="auto"/>
                <w:sz w:val="21"/>
                <w:szCs w:val="21"/>
                <w:highlight w:val="none"/>
                <w:lang w:val="en-US" w:eastAsia="zh-CN"/>
              </w:rPr>
            </w:pPr>
            <w:r>
              <w:rPr>
                <w:rFonts w:hint="eastAsia" w:ascii="仿宋_GB2312" w:hAnsi="仿宋_GB2312" w:eastAsia="仿宋_GB2312" w:cs="仿宋_GB2312"/>
                <w:color w:val="auto"/>
                <w:sz w:val="21"/>
                <w:szCs w:val="21"/>
                <w:highlight w:val="none"/>
                <w:lang w:val="en-US" w:eastAsia="zh-CN"/>
              </w:rPr>
              <w:t>未按时完成</w:t>
            </w:r>
          </w:p>
        </w:tc>
      </w:tr>
    </w:tbl>
    <w:p w14:paraId="65214473">
      <w:pPr>
        <w:pStyle w:val="3"/>
        <w:keepNext w:val="0"/>
        <w:keepLines w:val="0"/>
        <w:pageBreakBefore w:val="0"/>
        <w:widowControl w:val="0"/>
        <w:kinsoku/>
        <w:wordWrap/>
        <w:overflowPunct/>
        <w:topLinePunct w:val="0"/>
        <w:autoSpaceDE/>
        <w:autoSpaceDN/>
        <w:bidi w:val="0"/>
        <w:adjustRightInd/>
        <w:snapToGrid/>
        <w:spacing w:before="165" w:beforeLines="50" w:line="460" w:lineRule="exact"/>
        <w:jc w:val="center"/>
        <w:textAlignment w:val="auto"/>
        <w:rPr>
          <w:rFonts w:hint="default" w:ascii="仿宋" w:hAnsi="仿宋" w:eastAsia="仿宋" w:cs="仿宋"/>
          <w:b/>
          <w:bCs/>
          <w:color w:val="auto"/>
          <w:sz w:val="28"/>
          <w:szCs w:val="28"/>
          <w:lang w:val="en-US" w:eastAsia="zh-CN"/>
        </w:rPr>
      </w:pPr>
      <w:r>
        <w:rPr>
          <w:rFonts w:hint="eastAsia" w:ascii="仿宋_GB2312" w:hAnsi="Calibri" w:eastAsia="仿宋_GB2312" w:cs="仿宋_GB2312"/>
          <w:b/>
          <w:bCs/>
          <w:color w:val="auto"/>
          <w:kern w:val="2"/>
          <w:sz w:val="28"/>
          <w:szCs w:val="28"/>
          <w:highlight w:val="none"/>
          <w:lang w:val="en-US" w:eastAsia="zh-CN" w:bidi="ar-SA"/>
        </w:rPr>
        <w:t xml:space="preserve">表4-2  </w:t>
      </w:r>
      <w:r>
        <w:rPr>
          <w:rFonts w:hint="eastAsia" w:ascii="仿宋" w:hAnsi="仿宋" w:eastAsia="仿宋" w:cs="仿宋"/>
          <w:b/>
          <w:bCs/>
          <w:sz w:val="28"/>
          <w:szCs w:val="28"/>
          <w:lang w:val="en-US" w:eastAsia="zh-CN"/>
        </w:rPr>
        <w:t xml:space="preserve">  项目</w:t>
      </w:r>
      <w:r>
        <w:rPr>
          <w:rFonts w:hint="eastAsia" w:ascii="仿宋" w:hAnsi="仿宋" w:eastAsia="仿宋" w:cs="仿宋"/>
          <w:b/>
          <w:bCs/>
          <w:color w:val="auto"/>
          <w:sz w:val="28"/>
          <w:szCs w:val="28"/>
          <w:lang w:val="en-US" w:eastAsia="zh-CN"/>
        </w:rPr>
        <w:t>绩效目标任务完成情况表</w:t>
      </w:r>
    </w:p>
    <w:tbl>
      <w:tblPr>
        <w:tblStyle w:val="16"/>
        <w:tblW w:w="9053" w:type="dxa"/>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53"/>
        <w:gridCol w:w="1211"/>
        <w:gridCol w:w="629"/>
        <w:gridCol w:w="2376"/>
        <w:gridCol w:w="1572"/>
        <w:gridCol w:w="1598"/>
        <w:gridCol w:w="714"/>
      </w:tblGrid>
      <w:tr w14:paraId="47F6CC7A">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2" w:hRule="atLeast"/>
          <w:tblHeader/>
          <w:jc w:val="center"/>
        </w:trPr>
        <w:tc>
          <w:tcPr>
            <w:tcW w:w="953" w:type="dxa"/>
            <w:vMerge w:val="restart"/>
            <w:tcBorders>
              <w:top w:val="single" w:color="auto" w:sz="4" w:space="0"/>
            </w:tcBorders>
            <w:shd w:val="clear" w:color="auto" w:fill="D7D7D7" w:themeFill="background1" w:themeFillShade="D8"/>
            <w:noWrap w:val="0"/>
            <w:vAlign w:val="center"/>
          </w:tcPr>
          <w:p w14:paraId="4DC6C91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一级</w:t>
            </w:r>
          </w:p>
          <w:p w14:paraId="6CFC684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sz w:val="21"/>
                <w:szCs w:val="21"/>
                <w:highlight w:val="none"/>
                <w:vertAlign w:val="baseline"/>
                <w:lang w:val="en-US" w:eastAsia="zh-CN"/>
              </w:rPr>
              <w:t>指标</w:t>
            </w:r>
          </w:p>
        </w:tc>
        <w:tc>
          <w:tcPr>
            <w:tcW w:w="1211" w:type="dxa"/>
            <w:vMerge w:val="restart"/>
            <w:tcBorders>
              <w:top w:val="single" w:color="auto" w:sz="4" w:space="0"/>
            </w:tcBorders>
            <w:shd w:val="clear" w:color="auto" w:fill="D7D7D7" w:themeFill="background1" w:themeFillShade="D8"/>
            <w:noWrap w:val="0"/>
            <w:vAlign w:val="center"/>
          </w:tcPr>
          <w:p w14:paraId="2C09328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二级指标</w:t>
            </w:r>
          </w:p>
        </w:tc>
        <w:tc>
          <w:tcPr>
            <w:tcW w:w="3005" w:type="dxa"/>
            <w:gridSpan w:val="2"/>
            <w:vMerge w:val="restart"/>
            <w:tcBorders>
              <w:top w:val="single" w:color="auto" w:sz="4" w:space="0"/>
            </w:tcBorders>
            <w:shd w:val="clear" w:color="auto" w:fill="D7D7D7" w:themeFill="background1" w:themeFillShade="D8"/>
            <w:noWrap w:val="0"/>
            <w:vAlign w:val="center"/>
          </w:tcPr>
          <w:p w14:paraId="494B13F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三级指标</w:t>
            </w:r>
          </w:p>
        </w:tc>
        <w:tc>
          <w:tcPr>
            <w:tcW w:w="1572" w:type="dxa"/>
            <w:vMerge w:val="restart"/>
            <w:tcBorders>
              <w:top w:val="single" w:color="auto" w:sz="4" w:space="0"/>
            </w:tcBorders>
            <w:shd w:val="clear" w:color="auto" w:fill="D7D7D7" w:themeFill="background1" w:themeFillShade="D8"/>
            <w:noWrap w:val="0"/>
            <w:vAlign w:val="center"/>
          </w:tcPr>
          <w:p w14:paraId="3E92210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目标值</w:t>
            </w:r>
          </w:p>
        </w:tc>
        <w:tc>
          <w:tcPr>
            <w:tcW w:w="1598" w:type="dxa"/>
            <w:vMerge w:val="restart"/>
            <w:tcBorders>
              <w:top w:val="single" w:color="auto" w:sz="4" w:space="0"/>
            </w:tcBorders>
            <w:shd w:val="clear" w:color="auto" w:fill="D7D7D7" w:themeFill="background1" w:themeFillShade="D8"/>
            <w:noWrap w:val="0"/>
            <w:vAlign w:val="center"/>
          </w:tcPr>
          <w:p w14:paraId="0247B51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完成值</w:t>
            </w:r>
          </w:p>
        </w:tc>
        <w:tc>
          <w:tcPr>
            <w:tcW w:w="714" w:type="dxa"/>
            <w:vMerge w:val="restart"/>
            <w:tcBorders>
              <w:top w:val="single" w:color="auto" w:sz="4" w:space="0"/>
            </w:tcBorders>
            <w:shd w:val="clear" w:color="auto" w:fill="D7D7D7" w:themeFill="background1" w:themeFillShade="D8"/>
            <w:noWrap w:val="0"/>
            <w:vAlign w:val="center"/>
          </w:tcPr>
          <w:p w14:paraId="2A9B1B4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sz w:val="21"/>
                <w:szCs w:val="21"/>
                <w:highlight w:val="none"/>
                <w:vertAlign w:val="baseline"/>
                <w:lang w:val="en-US" w:eastAsia="zh-CN"/>
              </w:rPr>
            </w:pPr>
            <w:r>
              <w:rPr>
                <w:rFonts w:hint="eastAsia" w:ascii="仿宋_GB2312" w:hAnsi="仿宋_GB2312" w:eastAsia="仿宋_GB2312" w:cs="仿宋_GB2312"/>
                <w:b/>
                <w:bCs/>
                <w:color w:val="000000"/>
                <w:sz w:val="21"/>
                <w:szCs w:val="21"/>
                <w:highlight w:val="none"/>
                <w:vertAlign w:val="baseline"/>
                <w:lang w:val="en-US" w:eastAsia="zh-CN"/>
              </w:rPr>
              <w:t>完成情况</w:t>
            </w:r>
          </w:p>
        </w:tc>
      </w:tr>
      <w:tr w14:paraId="1798DA7B">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tblHeader/>
          <w:jc w:val="center"/>
        </w:trPr>
        <w:tc>
          <w:tcPr>
            <w:tcW w:w="953" w:type="dxa"/>
            <w:vMerge w:val="continue"/>
            <w:shd w:val="clear" w:color="auto" w:fill="D7D7D7" w:themeFill="background1" w:themeFillShade="D8"/>
            <w:noWrap w:val="0"/>
            <w:vAlign w:val="center"/>
          </w:tcPr>
          <w:p w14:paraId="75F6EAC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1211" w:type="dxa"/>
            <w:vMerge w:val="continue"/>
            <w:shd w:val="clear" w:color="auto" w:fill="D7D7D7" w:themeFill="background1" w:themeFillShade="D8"/>
            <w:noWrap w:val="0"/>
            <w:vAlign w:val="center"/>
          </w:tcPr>
          <w:p w14:paraId="1CC8411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3005" w:type="dxa"/>
            <w:gridSpan w:val="2"/>
            <w:vMerge w:val="continue"/>
            <w:shd w:val="clear" w:color="auto" w:fill="D7D7D7" w:themeFill="background1" w:themeFillShade="D8"/>
            <w:noWrap w:val="0"/>
            <w:vAlign w:val="center"/>
          </w:tcPr>
          <w:p w14:paraId="0650C89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1572" w:type="dxa"/>
            <w:vMerge w:val="continue"/>
            <w:shd w:val="clear" w:color="auto" w:fill="D7D7D7" w:themeFill="background1" w:themeFillShade="D8"/>
            <w:noWrap w:val="0"/>
            <w:vAlign w:val="center"/>
          </w:tcPr>
          <w:p w14:paraId="08BFB948">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1598" w:type="dxa"/>
            <w:vMerge w:val="continue"/>
            <w:shd w:val="clear" w:color="auto" w:fill="D7D7D7" w:themeFill="background1" w:themeFillShade="D8"/>
            <w:noWrap w:val="0"/>
            <w:vAlign w:val="center"/>
          </w:tcPr>
          <w:p w14:paraId="7999571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c>
          <w:tcPr>
            <w:tcW w:w="714" w:type="dxa"/>
            <w:vMerge w:val="continue"/>
            <w:shd w:val="clear" w:color="auto" w:fill="D7D7D7" w:themeFill="background1" w:themeFillShade="D8"/>
            <w:noWrap w:val="0"/>
            <w:vAlign w:val="center"/>
          </w:tcPr>
          <w:p w14:paraId="7F6C7C9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highlight w:val="none"/>
                <w:vertAlign w:val="baseline"/>
                <w:lang w:val="en-US" w:eastAsia="zh-CN"/>
              </w:rPr>
            </w:pPr>
          </w:p>
        </w:tc>
      </w:tr>
      <w:tr w14:paraId="36F7EF7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restart"/>
            <w:shd w:val="clear" w:color="auto" w:fill="auto"/>
            <w:noWrap w:val="0"/>
            <w:vAlign w:val="center"/>
          </w:tcPr>
          <w:p w14:paraId="41AF63A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产出指标</w:t>
            </w:r>
          </w:p>
        </w:tc>
        <w:tc>
          <w:tcPr>
            <w:tcW w:w="1211" w:type="dxa"/>
            <w:vMerge w:val="restart"/>
            <w:shd w:val="clear" w:color="auto" w:fill="auto"/>
            <w:noWrap w:val="0"/>
            <w:vAlign w:val="center"/>
          </w:tcPr>
          <w:p w14:paraId="28769A3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数量指标</w:t>
            </w:r>
          </w:p>
        </w:tc>
        <w:tc>
          <w:tcPr>
            <w:tcW w:w="629" w:type="dxa"/>
            <w:vMerge w:val="restart"/>
            <w:shd w:val="clear" w:color="auto" w:fill="auto"/>
            <w:noWrap w:val="0"/>
            <w:vAlign w:val="center"/>
          </w:tcPr>
          <w:p w14:paraId="4C9E2EF7">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sz w:val="21"/>
                <w:szCs w:val="21"/>
                <w:lang w:val="en-US" w:eastAsia="zh-CN"/>
              </w:rPr>
              <w:t>拆除工作</w:t>
            </w:r>
          </w:p>
        </w:tc>
        <w:tc>
          <w:tcPr>
            <w:tcW w:w="2376" w:type="dxa"/>
            <w:shd w:val="clear" w:color="auto" w:fill="auto"/>
            <w:noWrap w:val="0"/>
            <w:vAlign w:val="center"/>
          </w:tcPr>
          <w:p w14:paraId="63E1F195">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拆除房屋</w:t>
            </w:r>
          </w:p>
        </w:tc>
        <w:tc>
          <w:tcPr>
            <w:tcW w:w="1572" w:type="dxa"/>
            <w:shd w:val="clear" w:color="auto" w:fill="auto"/>
            <w:noWrap w:val="0"/>
            <w:vAlign w:val="center"/>
          </w:tcPr>
          <w:p w14:paraId="41DB627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76间</w:t>
            </w:r>
          </w:p>
        </w:tc>
        <w:tc>
          <w:tcPr>
            <w:tcW w:w="1598" w:type="dxa"/>
            <w:shd w:val="clear" w:color="auto" w:fill="auto"/>
            <w:noWrap w:val="0"/>
            <w:vAlign w:val="center"/>
          </w:tcPr>
          <w:p w14:paraId="14415FB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76间</w:t>
            </w:r>
          </w:p>
        </w:tc>
        <w:tc>
          <w:tcPr>
            <w:tcW w:w="714" w:type="dxa"/>
            <w:shd w:val="clear" w:color="auto" w:fill="auto"/>
            <w:noWrap w:val="0"/>
            <w:vAlign w:val="center"/>
          </w:tcPr>
          <w:p w14:paraId="41C9908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358074C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5FA7E3F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275D329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629" w:type="dxa"/>
            <w:vMerge w:val="continue"/>
            <w:shd w:val="clear" w:color="auto" w:fill="auto"/>
            <w:noWrap w:val="0"/>
            <w:vAlign w:val="center"/>
          </w:tcPr>
          <w:p w14:paraId="3F9E1AE6">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sz w:val="21"/>
                <w:szCs w:val="21"/>
                <w:lang w:val="en-US" w:eastAsia="zh-CN"/>
              </w:rPr>
            </w:pPr>
          </w:p>
        </w:tc>
        <w:tc>
          <w:tcPr>
            <w:tcW w:w="2376" w:type="dxa"/>
            <w:shd w:val="clear" w:color="auto" w:fill="auto"/>
            <w:noWrap w:val="0"/>
            <w:vAlign w:val="center"/>
          </w:tcPr>
          <w:p w14:paraId="7556159D">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拆除厕所</w:t>
            </w:r>
          </w:p>
        </w:tc>
        <w:tc>
          <w:tcPr>
            <w:tcW w:w="1572" w:type="dxa"/>
            <w:shd w:val="clear" w:color="auto" w:fill="auto"/>
            <w:noWrap w:val="0"/>
            <w:vAlign w:val="center"/>
          </w:tcPr>
          <w:p w14:paraId="1726045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38间</w:t>
            </w:r>
          </w:p>
        </w:tc>
        <w:tc>
          <w:tcPr>
            <w:tcW w:w="1598" w:type="dxa"/>
            <w:shd w:val="clear" w:color="auto" w:fill="auto"/>
            <w:noWrap w:val="0"/>
            <w:vAlign w:val="center"/>
          </w:tcPr>
          <w:p w14:paraId="68E9883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38间</w:t>
            </w:r>
          </w:p>
        </w:tc>
        <w:tc>
          <w:tcPr>
            <w:tcW w:w="714" w:type="dxa"/>
            <w:shd w:val="clear" w:color="auto" w:fill="auto"/>
            <w:noWrap w:val="0"/>
            <w:vAlign w:val="center"/>
          </w:tcPr>
          <w:p w14:paraId="460DF9CD">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2E7BD224">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1FE4CD3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721C4BA3">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629" w:type="dxa"/>
            <w:vMerge w:val="restart"/>
            <w:shd w:val="clear" w:color="auto" w:fill="auto"/>
            <w:noWrap w:val="0"/>
            <w:vAlign w:val="center"/>
          </w:tcPr>
          <w:p w14:paraId="66B088E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恢复工作</w:t>
            </w:r>
          </w:p>
        </w:tc>
        <w:tc>
          <w:tcPr>
            <w:tcW w:w="2376" w:type="dxa"/>
            <w:shd w:val="clear" w:color="auto" w:fill="auto"/>
            <w:noWrap w:val="0"/>
            <w:vAlign w:val="center"/>
          </w:tcPr>
          <w:p w14:paraId="3E7D3C5D">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围墙砌筑</w:t>
            </w:r>
          </w:p>
        </w:tc>
        <w:tc>
          <w:tcPr>
            <w:tcW w:w="1572" w:type="dxa"/>
            <w:shd w:val="clear" w:color="auto" w:fill="auto"/>
            <w:noWrap w:val="0"/>
            <w:vAlign w:val="center"/>
          </w:tcPr>
          <w:p w14:paraId="2DABDBF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360米</w:t>
            </w:r>
          </w:p>
        </w:tc>
        <w:tc>
          <w:tcPr>
            <w:tcW w:w="1598" w:type="dxa"/>
            <w:shd w:val="clear" w:color="auto" w:fill="auto"/>
            <w:noWrap w:val="0"/>
            <w:vAlign w:val="center"/>
          </w:tcPr>
          <w:p w14:paraId="04876BE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360米</w:t>
            </w:r>
          </w:p>
        </w:tc>
        <w:tc>
          <w:tcPr>
            <w:tcW w:w="714" w:type="dxa"/>
            <w:shd w:val="clear" w:color="auto" w:fill="auto"/>
            <w:noWrap w:val="0"/>
            <w:vAlign w:val="center"/>
          </w:tcPr>
          <w:p w14:paraId="08494A5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6BFB3533">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7AC909C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0D4DAA4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629" w:type="dxa"/>
            <w:vMerge w:val="continue"/>
            <w:shd w:val="clear" w:color="auto" w:fill="auto"/>
            <w:noWrap w:val="0"/>
            <w:vAlign w:val="center"/>
          </w:tcPr>
          <w:p w14:paraId="3B27ABF6">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sz w:val="21"/>
                <w:szCs w:val="21"/>
                <w:lang w:val="en-US" w:eastAsia="zh-CN"/>
              </w:rPr>
            </w:pPr>
          </w:p>
        </w:tc>
        <w:tc>
          <w:tcPr>
            <w:tcW w:w="2376" w:type="dxa"/>
            <w:shd w:val="clear" w:color="auto" w:fill="auto"/>
            <w:noWrap w:val="0"/>
            <w:vAlign w:val="center"/>
          </w:tcPr>
          <w:p w14:paraId="1E2FAD36">
            <w:pPr>
              <w:keepNext w:val="0"/>
              <w:keepLines w:val="0"/>
              <w:pageBreakBefore w:val="0"/>
              <w:kinsoku/>
              <w:wordWrap/>
              <w:overflowPunct/>
              <w:topLinePunct w:val="0"/>
              <w:autoSpaceDE/>
              <w:autoSpaceDN/>
              <w:bidi w:val="0"/>
              <w:adjustRightInd/>
              <w:snapToGrid/>
              <w:spacing w:line="240" w:lineRule="exact"/>
              <w:ind w:left="-106" w:leftChars="-50" w:right="-106" w:rightChars="-50"/>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农户界墙砌筑</w:t>
            </w:r>
          </w:p>
        </w:tc>
        <w:tc>
          <w:tcPr>
            <w:tcW w:w="1572" w:type="dxa"/>
            <w:shd w:val="clear" w:color="auto" w:fill="auto"/>
            <w:noWrap w:val="0"/>
            <w:vAlign w:val="center"/>
          </w:tcPr>
          <w:p w14:paraId="31CE40D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152米</w:t>
            </w:r>
          </w:p>
        </w:tc>
        <w:tc>
          <w:tcPr>
            <w:tcW w:w="1598" w:type="dxa"/>
            <w:shd w:val="clear" w:color="auto" w:fill="auto"/>
            <w:noWrap w:val="0"/>
            <w:vAlign w:val="center"/>
          </w:tcPr>
          <w:p w14:paraId="4BD2690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152米</w:t>
            </w:r>
          </w:p>
        </w:tc>
        <w:tc>
          <w:tcPr>
            <w:tcW w:w="714" w:type="dxa"/>
            <w:shd w:val="clear" w:color="auto" w:fill="auto"/>
            <w:noWrap w:val="0"/>
            <w:vAlign w:val="center"/>
          </w:tcPr>
          <w:p w14:paraId="21C934D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21E9C99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19671B6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2403AB1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629" w:type="dxa"/>
            <w:vMerge w:val="continue"/>
            <w:shd w:val="clear" w:color="auto" w:fill="auto"/>
            <w:noWrap w:val="0"/>
            <w:vAlign w:val="center"/>
          </w:tcPr>
          <w:p w14:paraId="0AF78710">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p>
        </w:tc>
        <w:tc>
          <w:tcPr>
            <w:tcW w:w="2376" w:type="dxa"/>
            <w:shd w:val="clear" w:color="auto" w:fill="auto"/>
            <w:noWrap w:val="0"/>
            <w:vAlign w:val="center"/>
          </w:tcPr>
          <w:p w14:paraId="29CB3606">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硬化农户后院地面</w:t>
            </w:r>
          </w:p>
        </w:tc>
        <w:tc>
          <w:tcPr>
            <w:tcW w:w="1572" w:type="dxa"/>
            <w:shd w:val="clear" w:color="auto" w:fill="auto"/>
            <w:noWrap w:val="0"/>
            <w:vAlign w:val="center"/>
          </w:tcPr>
          <w:p w14:paraId="19A38F58">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800平方米</w:t>
            </w:r>
          </w:p>
        </w:tc>
        <w:tc>
          <w:tcPr>
            <w:tcW w:w="1598" w:type="dxa"/>
            <w:shd w:val="clear" w:color="auto" w:fill="auto"/>
            <w:noWrap w:val="0"/>
            <w:vAlign w:val="center"/>
          </w:tcPr>
          <w:p w14:paraId="5055D195">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800平方米</w:t>
            </w:r>
          </w:p>
        </w:tc>
        <w:tc>
          <w:tcPr>
            <w:tcW w:w="714" w:type="dxa"/>
            <w:shd w:val="clear" w:color="auto" w:fill="auto"/>
            <w:noWrap w:val="0"/>
            <w:vAlign w:val="center"/>
          </w:tcPr>
          <w:p w14:paraId="4A293BE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6911CE1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786D09F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0B96EF3A">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629" w:type="dxa"/>
            <w:vMerge w:val="continue"/>
            <w:shd w:val="clear" w:color="auto" w:fill="auto"/>
            <w:noWrap w:val="0"/>
            <w:vAlign w:val="center"/>
          </w:tcPr>
          <w:p w14:paraId="52FE79DC">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lang w:val="en-US" w:eastAsia="zh-CN"/>
              </w:rPr>
            </w:pPr>
          </w:p>
        </w:tc>
        <w:tc>
          <w:tcPr>
            <w:tcW w:w="2376" w:type="dxa"/>
            <w:shd w:val="clear" w:color="auto" w:fill="auto"/>
            <w:noWrap w:val="0"/>
            <w:vAlign w:val="center"/>
          </w:tcPr>
          <w:p w14:paraId="716FFB8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扩宽道路</w:t>
            </w:r>
          </w:p>
        </w:tc>
        <w:tc>
          <w:tcPr>
            <w:tcW w:w="1572" w:type="dxa"/>
            <w:shd w:val="clear" w:color="auto" w:fill="auto"/>
            <w:noWrap w:val="0"/>
            <w:vAlign w:val="center"/>
          </w:tcPr>
          <w:p w14:paraId="0E99F93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170平方米</w:t>
            </w:r>
          </w:p>
        </w:tc>
        <w:tc>
          <w:tcPr>
            <w:tcW w:w="1598" w:type="dxa"/>
            <w:shd w:val="clear" w:color="auto" w:fill="auto"/>
            <w:noWrap w:val="0"/>
            <w:vAlign w:val="center"/>
          </w:tcPr>
          <w:p w14:paraId="3E149C3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170平方米</w:t>
            </w:r>
          </w:p>
        </w:tc>
        <w:tc>
          <w:tcPr>
            <w:tcW w:w="714" w:type="dxa"/>
            <w:shd w:val="clear" w:color="auto" w:fill="auto"/>
            <w:noWrap w:val="0"/>
            <w:vAlign w:val="center"/>
          </w:tcPr>
          <w:p w14:paraId="5283A59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247C5649">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157362C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6777790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629" w:type="dxa"/>
            <w:vMerge w:val="continue"/>
            <w:shd w:val="clear" w:color="auto" w:fill="auto"/>
            <w:noWrap w:val="0"/>
            <w:vAlign w:val="center"/>
          </w:tcPr>
          <w:p w14:paraId="6EDB6A8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lang w:val="en-US" w:eastAsia="zh-CN"/>
              </w:rPr>
            </w:pPr>
          </w:p>
        </w:tc>
        <w:tc>
          <w:tcPr>
            <w:tcW w:w="2376" w:type="dxa"/>
            <w:shd w:val="clear" w:color="auto" w:fill="auto"/>
            <w:noWrap w:val="0"/>
            <w:vAlign w:val="center"/>
          </w:tcPr>
          <w:p w14:paraId="1C81721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sz w:val="21"/>
                <w:szCs w:val="21"/>
                <w:lang w:val="en-US" w:eastAsia="zh-CN"/>
              </w:rPr>
            </w:pPr>
            <w:r>
              <w:rPr>
                <w:rFonts w:hint="eastAsia" w:ascii="仿宋_GB2312" w:hAnsi="仿宋_GB2312" w:eastAsia="仿宋_GB2312" w:cs="仿宋_GB2312"/>
                <w:color w:val="auto"/>
                <w:sz w:val="21"/>
                <w:szCs w:val="21"/>
                <w:highlight w:val="none"/>
                <w:lang w:val="en-US" w:eastAsia="zh-CN"/>
              </w:rPr>
              <w:t>铺设农户集中排污管道</w:t>
            </w:r>
          </w:p>
        </w:tc>
        <w:tc>
          <w:tcPr>
            <w:tcW w:w="1572" w:type="dxa"/>
            <w:shd w:val="clear" w:color="auto" w:fill="auto"/>
            <w:noWrap w:val="0"/>
            <w:vAlign w:val="center"/>
          </w:tcPr>
          <w:p w14:paraId="76246AA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360米</w:t>
            </w:r>
          </w:p>
        </w:tc>
        <w:tc>
          <w:tcPr>
            <w:tcW w:w="1598" w:type="dxa"/>
            <w:shd w:val="clear" w:color="auto" w:fill="auto"/>
            <w:noWrap w:val="0"/>
            <w:vAlign w:val="center"/>
          </w:tcPr>
          <w:p w14:paraId="3F3863E9">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sz w:val="21"/>
                <w:szCs w:val="21"/>
                <w:highlight w:val="none"/>
                <w:lang w:val="en-US" w:eastAsia="zh-CN"/>
              </w:rPr>
              <w:t>360米</w:t>
            </w:r>
          </w:p>
        </w:tc>
        <w:tc>
          <w:tcPr>
            <w:tcW w:w="714" w:type="dxa"/>
            <w:shd w:val="clear" w:color="auto" w:fill="auto"/>
            <w:noWrap w:val="0"/>
            <w:vAlign w:val="center"/>
          </w:tcPr>
          <w:p w14:paraId="347E8C3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7970352E">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13AB2DCF">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25E51CC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质量指标</w:t>
            </w:r>
          </w:p>
        </w:tc>
        <w:tc>
          <w:tcPr>
            <w:tcW w:w="3005" w:type="dxa"/>
            <w:gridSpan w:val="2"/>
            <w:shd w:val="clear" w:color="auto" w:fill="auto"/>
            <w:noWrap w:val="0"/>
            <w:vAlign w:val="center"/>
          </w:tcPr>
          <w:p w14:paraId="533AE3FE">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项目验收合格率</w:t>
            </w:r>
          </w:p>
        </w:tc>
        <w:tc>
          <w:tcPr>
            <w:tcW w:w="1572" w:type="dxa"/>
            <w:shd w:val="clear" w:color="auto" w:fill="auto"/>
            <w:noWrap w:val="0"/>
            <w:vAlign w:val="center"/>
          </w:tcPr>
          <w:p w14:paraId="3621D5F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100%</w:t>
            </w:r>
          </w:p>
        </w:tc>
        <w:tc>
          <w:tcPr>
            <w:tcW w:w="1598" w:type="dxa"/>
            <w:shd w:val="clear" w:color="auto" w:fill="auto"/>
            <w:noWrap w:val="0"/>
            <w:vAlign w:val="center"/>
          </w:tcPr>
          <w:p w14:paraId="0894820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未验收</w:t>
            </w:r>
          </w:p>
        </w:tc>
        <w:tc>
          <w:tcPr>
            <w:tcW w:w="714" w:type="dxa"/>
            <w:shd w:val="clear" w:color="auto" w:fill="auto"/>
            <w:noWrap w:val="0"/>
            <w:vAlign w:val="center"/>
          </w:tcPr>
          <w:p w14:paraId="4ED7687B">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11D6423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1AC48F4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1D8F761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时效指标</w:t>
            </w:r>
          </w:p>
        </w:tc>
        <w:tc>
          <w:tcPr>
            <w:tcW w:w="3005" w:type="dxa"/>
            <w:gridSpan w:val="2"/>
            <w:shd w:val="clear" w:color="auto" w:fill="auto"/>
            <w:noWrap w:val="0"/>
            <w:vAlign w:val="center"/>
          </w:tcPr>
          <w:p w14:paraId="724F7B4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项目完成时效</w:t>
            </w:r>
          </w:p>
        </w:tc>
        <w:tc>
          <w:tcPr>
            <w:tcW w:w="1572" w:type="dxa"/>
            <w:shd w:val="clear" w:color="auto" w:fill="auto"/>
            <w:noWrap w:val="0"/>
            <w:vAlign w:val="center"/>
          </w:tcPr>
          <w:p w14:paraId="44E44B3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宋体"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20</w:t>
            </w:r>
            <w:r>
              <w:rPr>
                <w:rFonts w:hint="eastAsia" w:ascii="仿宋_GB2312" w:hAnsi="仿宋_GB2312" w:eastAsia="仿宋_GB2312" w:cs="仿宋_GB2312"/>
                <w:color w:val="auto"/>
                <w:sz w:val="21"/>
                <w:szCs w:val="21"/>
                <w:highlight w:val="none"/>
                <w:lang w:val="en-US" w:eastAsia="zh-CN"/>
              </w:rPr>
              <w:t>24.4前</w:t>
            </w:r>
          </w:p>
        </w:tc>
        <w:tc>
          <w:tcPr>
            <w:tcW w:w="1598" w:type="dxa"/>
            <w:shd w:val="clear" w:color="auto" w:fill="auto"/>
            <w:noWrap w:val="0"/>
            <w:vAlign w:val="center"/>
          </w:tcPr>
          <w:p w14:paraId="1DF2E453">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2025.3</w:t>
            </w:r>
          </w:p>
        </w:tc>
        <w:tc>
          <w:tcPr>
            <w:tcW w:w="714" w:type="dxa"/>
            <w:shd w:val="clear" w:color="auto" w:fill="auto"/>
            <w:noWrap w:val="0"/>
            <w:vAlign w:val="center"/>
          </w:tcPr>
          <w:p w14:paraId="77A0CF8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default" w:ascii="Arial" w:hAnsi="Arial" w:eastAsia="仿宋_GB2312" w:cs="Arial"/>
                <w:b/>
                <w:bCs/>
                <w:color w:val="000000"/>
                <w:kern w:val="2"/>
                <w:sz w:val="21"/>
                <w:szCs w:val="21"/>
                <w:highlight w:val="none"/>
                <w:vertAlign w:val="baseline"/>
                <w:lang w:val="en-US" w:eastAsia="zh-CN" w:bidi="ar-SA"/>
              </w:rPr>
              <w:t>×</w:t>
            </w:r>
          </w:p>
        </w:tc>
      </w:tr>
      <w:tr w14:paraId="2DD250D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0162AFA8">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0EC6F3B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成本指标</w:t>
            </w:r>
          </w:p>
        </w:tc>
        <w:tc>
          <w:tcPr>
            <w:tcW w:w="3005" w:type="dxa"/>
            <w:gridSpan w:val="2"/>
            <w:shd w:val="clear" w:color="auto" w:fill="auto"/>
            <w:noWrap w:val="0"/>
            <w:vAlign w:val="center"/>
          </w:tcPr>
          <w:p w14:paraId="7EE5A50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项目建设投资（万元）</w:t>
            </w:r>
          </w:p>
        </w:tc>
        <w:tc>
          <w:tcPr>
            <w:tcW w:w="1572" w:type="dxa"/>
            <w:shd w:val="clear" w:color="auto" w:fill="auto"/>
            <w:noWrap w:val="0"/>
            <w:vAlign w:val="center"/>
          </w:tcPr>
          <w:p w14:paraId="25944EC9">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≤38</w:t>
            </w:r>
          </w:p>
        </w:tc>
        <w:tc>
          <w:tcPr>
            <w:tcW w:w="1598" w:type="dxa"/>
            <w:shd w:val="clear" w:color="auto" w:fill="auto"/>
            <w:noWrap w:val="0"/>
            <w:vAlign w:val="center"/>
          </w:tcPr>
          <w:p w14:paraId="5699CA75">
            <w:pPr>
              <w:keepNext w:val="0"/>
              <w:keepLines w:val="0"/>
              <w:pageBreakBefore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lang w:val="en-US" w:eastAsia="zh-CN" w:bidi="ar-SA"/>
              </w:rPr>
              <w:t>46.7197</w:t>
            </w:r>
          </w:p>
        </w:tc>
        <w:tc>
          <w:tcPr>
            <w:tcW w:w="714" w:type="dxa"/>
            <w:shd w:val="clear" w:color="auto" w:fill="auto"/>
            <w:noWrap w:val="0"/>
            <w:vAlign w:val="center"/>
          </w:tcPr>
          <w:p w14:paraId="2E8C5AD8">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default" w:ascii="Arial" w:hAnsi="Arial" w:eastAsia="仿宋_GB2312" w:cs="Arial"/>
                <w:b/>
                <w:bCs/>
                <w:color w:val="000000"/>
                <w:kern w:val="2"/>
                <w:sz w:val="21"/>
                <w:szCs w:val="21"/>
                <w:highlight w:val="none"/>
                <w:vertAlign w:val="baseline"/>
                <w:lang w:val="en-US" w:eastAsia="zh-CN" w:bidi="ar-SA"/>
              </w:rPr>
              <w:t>×</w:t>
            </w:r>
          </w:p>
        </w:tc>
      </w:tr>
      <w:tr w14:paraId="6657A09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11DB629E">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restart"/>
            <w:shd w:val="clear" w:color="auto" w:fill="auto"/>
            <w:noWrap w:val="0"/>
            <w:vAlign w:val="center"/>
          </w:tcPr>
          <w:p w14:paraId="038CBEBB">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社会效益指标</w:t>
            </w:r>
          </w:p>
        </w:tc>
        <w:tc>
          <w:tcPr>
            <w:tcW w:w="3005" w:type="dxa"/>
            <w:gridSpan w:val="2"/>
            <w:shd w:val="clear" w:color="auto" w:fill="auto"/>
            <w:noWrap w:val="0"/>
            <w:vAlign w:val="center"/>
          </w:tcPr>
          <w:p w14:paraId="5BAD4C1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改善受灾群众居住条件情况</w:t>
            </w:r>
          </w:p>
        </w:tc>
        <w:tc>
          <w:tcPr>
            <w:tcW w:w="1572" w:type="dxa"/>
            <w:shd w:val="clear" w:color="auto" w:fill="auto"/>
            <w:noWrap w:val="0"/>
            <w:vAlign w:val="center"/>
          </w:tcPr>
          <w:p w14:paraId="4CB9785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98" w:type="dxa"/>
            <w:shd w:val="clear" w:color="auto" w:fill="auto"/>
            <w:noWrap w:val="0"/>
            <w:vAlign w:val="center"/>
          </w:tcPr>
          <w:p w14:paraId="634713E7">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413DD46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1A3D95E1">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exact"/>
          <w:jc w:val="center"/>
        </w:trPr>
        <w:tc>
          <w:tcPr>
            <w:tcW w:w="953" w:type="dxa"/>
            <w:vMerge w:val="continue"/>
            <w:shd w:val="clear" w:color="auto" w:fill="auto"/>
            <w:noWrap w:val="0"/>
            <w:vAlign w:val="center"/>
          </w:tcPr>
          <w:p w14:paraId="6E83334A">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28A3888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005" w:type="dxa"/>
            <w:gridSpan w:val="2"/>
            <w:shd w:val="clear" w:color="auto" w:fill="auto"/>
            <w:noWrap w:val="0"/>
            <w:vAlign w:val="center"/>
          </w:tcPr>
          <w:p w14:paraId="3471166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spacing w:val="-11"/>
                <w:kern w:val="2"/>
                <w:sz w:val="21"/>
                <w:szCs w:val="21"/>
                <w:highlight w:val="none"/>
                <w:vertAlign w:val="baseline"/>
                <w:lang w:val="en-US" w:eastAsia="zh-CN" w:bidi="ar-SA"/>
              </w:rPr>
              <w:t>保障沿岸农户生命财产安全情况</w:t>
            </w:r>
          </w:p>
        </w:tc>
        <w:tc>
          <w:tcPr>
            <w:tcW w:w="1572" w:type="dxa"/>
            <w:shd w:val="clear" w:color="auto" w:fill="auto"/>
            <w:noWrap w:val="0"/>
            <w:vAlign w:val="center"/>
          </w:tcPr>
          <w:p w14:paraId="401B7DA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98" w:type="dxa"/>
            <w:shd w:val="clear" w:color="auto" w:fill="auto"/>
            <w:noWrap w:val="0"/>
            <w:vAlign w:val="center"/>
          </w:tcPr>
          <w:p w14:paraId="5C3AC28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4E72E19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58FBAF7F">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7A8F4B15">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vMerge w:val="continue"/>
            <w:shd w:val="clear" w:color="auto" w:fill="auto"/>
            <w:noWrap w:val="0"/>
            <w:vAlign w:val="center"/>
          </w:tcPr>
          <w:p w14:paraId="631904B6">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3005" w:type="dxa"/>
            <w:gridSpan w:val="2"/>
            <w:shd w:val="clear" w:color="auto" w:fill="auto"/>
            <w:noWrap w:val="0"/>
            <w:vAlign w:val="center"/>
          </w:tcPr>
          <w:p w14:paraId="34072B65">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改善当地的投资环境作用情况</w:t>
            </w:r>
          </w:p>
        </w:tc>
        <w:tc>
          <w:tcPr>
            <w:tcW w:w="1572" w:type="dxa"/>
            <w:shd w:val="clear" w:color="auto" w:fill="auto"/>
            <w:noWrap w:val="0"/>
            <w:vAlign w:val="center"/>
          </w:tcPr>
          <w:p w14:paraId="55C8B65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98" w:type="dxa"/>
            <w:shd w:val="clear" w:color="auto" w:fill="auto"/>
            <w:noWrap w:val="0"/>
            <w:vAlign w:val="center"/>
          </w:tcPr>
          <w:p w14:paraId="523B24A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7B2C9F5C">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3167C538">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exact"/>
          <w:jc w:val="center"/>
        </w:trPr>
        <w:tc>
          <w:tcPr>
            <w:tcW w:w="953" w:type="dxa"/>
            <w:vMerge w:val="continue"/>
            <w:shd w:val="clear" w:color="auto" w:fill="auto"/>
            <w:noWrap w:val="0"/>
            <w:vAlign w:val="center"/>
          </w:tcPr>
          <w:p w14:paraId="36960325">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64AE280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生态效益指标</w:t>
            </w:r>
          </w:p>
        </w:tc>
        <w:tc>
          <w:tcPr>
            <w:tcW w:w="3005" w:type="dxa"/>
            <w:gridSpan w:val="2"/>
            <w:shd w:val="clear" w:color="auto" w:fill="auto"/>
            <w:noWrap w:val="0"/>
            <w:vAlign w:val="center"/>
          </w:tcPr>
          <w:p w14:paraId="7CA54467">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生态环境方面的作用情况</w:t>
            </w:r>
          </w:p>
        </w:tc>
        <w:tc>
          <w:tcPr>
            <w:tcW w:w="1572" w:type="dxa"/>
            <w:shd w:val="clear" w:color="auto" w:fill="auto"/>
            <w:noWrap w:val="0"/>
            <w:vAlign w:val="center"/>
          </w:tcPr>
          <w:p w14:paraId="59AFF252">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98" w:type="dxa"/>
            <w:shd w:val="clear" w:color="auto" w:fill="auto"/>
            <w:noWrap w:val="0"/>
            <w:vAlign w:val="center"/>
          </w:tcPr>
          <w:p w14:paraId="699C22B4">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714" w:type="dxa"/>
            <w:shd w:val="clear" w:color="auto" w:fill="auto"/>
            <w:noWrap w:val="0"/>
            <w:vAlign w:val="center"/>
          </w:tcPr>
          <w:p w14:paraId="7BD4743E">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70301ACD">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3" w:hRule="exact"/>
          <w:jc w:val="center"/>
        </w:trPr>
        <w:tc>
          <w:tcPr>
            <w:tcW w:w="953" w:type="dxa"/>
            <w:vMerge w:val="continue"/>
            <w:shd w:val="clear" w:color="auto" w:fill="auto"/>
            <w:noWrap w:val="0"/>
            <w:vAlign w:val="center"/>
          </w:tcPr>
          <w:p w14:paraId="681C62A0">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p>
        </w:tc>
        <w:tc>
          <w:tcPr>
            <w:tcW w:w="1211" w:type="dxa"/>
            <w:shd w:val="clear" w:color="auto" w:fill="auto"/>
            <w:noWrap w:val="0"/>
            <w:vAlign w:val="center"/>
          </w:tcPr>
          <w:p w14:paraId="03F94091">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可持续影响指标</w:t>
            </w:r>
          </w:p>
        </w:tc>
        <w:tc>
          <w:tcPr>
            <w:tcW w:w="3005" w:type="dxa"/>
            <w:gridSpan w:val="2"/>
            <w:shd w:val="clear" w:color="auto" w:fill="auto"/>
            <w:noWrap w:val="0"/>
            <w:vAlign w:val="center"/>
          </w:tcPr>
          <w:p w14:paraId="2988BC9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项目长效运管及可持续发展</w:t>
            </w:r>
          </w:p>
          <w:p w14:paraId="03DF949F">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情况</w:t>
            </w:r>
          </w:p>
        </w:tc>
        <w:tc>
          <w:tcPr>
            <w:tcW w:w="1572" w:type="dxa"/>
            <w:shd w:val="clear" w:color="auto" w:fill="auto"/>
            <w:noWrap w:val="0"/>
            <w:vAlign w:val="center"/>
          </w:tcPr>
          <w:p w14:paraId="1DE7EFF6">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明显</w:t>
            </w:r>
          </w:p>
        </w:tc>
        <w:tc>
          <w:tcPr>
            <w:tcW w:w="1598" w:type="dxa"/>
            <w:shd w:val="clear" w:color="auto" w:fill="auto"/>
            <w:noWrap w:val="0"/>
            <w:vAlign w:val="center"/>
          </w:tcPr>
          <w:p w14:paraId="15138DEA">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未建成</w:t>
            </w:r>
          </w:p>
        </w:tc>
        <w:tc>
          <w:tcPr>
            <w:tcW w:w="714" w:type="dxa"/>
            <w:shd w:val="clear" w:color="auto" w:fill="auto"/>
            <w:noWrap w:val="0"/>
            <w:vAlign w:val="center"/>
          </w:tcPr>
          <w:p w14:paraId="3D9BF1A3">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r w14:paraId="56805FD2">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4" w:hRule="exact"/>
          <w:jc w:val="center"/>
        </w:trPr>
        <w:tc>
          <w:tcPr>
            <w:tcW w:w="953" w:type="dxa"/>
            <w:tcBorders>
              <w:bottom w:val="single" w:color="auto" w:sz="4" w:space="0"/>
            </w:tcBorders>
            <w:shd w:val="clear" w:color="auto" w:fill="auto"/>
            <w:noWrap w:val="0"/>
            <w:vAlign w:val="center"/>
          </w:tcPr>
          <w:p w14:paraId="4E8EF5AC">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满意度指标</w:t>
            </w:r>
          </w:p>
        </w:tc>
        <w:tc>
          <w:tcPr>
            <w:tcW w:w="1211" w:type="dxa"/>
            <w:tcBorders>
              <w:bottom w:val="single" w:color="auto" w:sz="4" w:space="0"/>
            </w:tcBorders>
            <w:shd w:val="clear" w:color="auto" w:fill="auto"/>
            <w:noWrap w:val="0"/>
            <w:vAlign w:val="center"/>
          </w:tcPr>
          <w:p w14:paraId="27876F14">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服务对象满意度指标</w:t>
            </w:r>
          </w:p>
        </w:tc>
        <w:tc>
          <w:tcPr>
            <w:tcW w:w="3005" w:type="dxa"/>
            <w:gridSpan w:val="2"/>
            <w:tcBorders>
              <w:bottom w:val="single" w:color="auto" w:sz="4" w:space="0"/>
            </w:tcBorders>
            <w:shd w:val="clear" w:color="auto" w:fill="auto"/>
            <w:noWrap w:val="0"/>
            <w:vAlign w:val="center"/>
          </w:tcPr>
          <w:p w14:paraId="4D5C22CD">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群众对项目实施的满意度</w:t>
            </w:r>
          </w:p>
        </w:tc>
        <w:tc>
          <w:tcPr>
            <w:tcW w:w="1572" w:type="dxa"/>
            <w:tcBorders>
              <w:bottom w:val="single" w:color="auto" w:sz="4" w:space="0"/>
            </w:tcBorders>
            <w:shd w:val="clear" w:color="auto" w:fill="auto"/>
            <w:noWrap w:val="0"/>
            <w:vAlign w:val="center"/>
          </w:tcPr>
          <w:p w14:paraId="6B3912D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000000"/>
                <w:kern w:val="2"/>
                <w:sz w:val="21"/>
                <w:szCs w:val="21"/>
                <w:highlight w:val="none"/>
                <w:vertAlign w:val="baseline"/>
                <w:lang w:val="en-US" w:eastAsia="zh-CN" w:bidi="ar-SA"/>
              </w:rPr>
              <w:t>≥95%</w:t>
            </w:r>
          </w:p>
        </w:tc>
        <w:tc>
          <w:tcPr>
            <w:tcW w:w="1598" w:type="dxa"/>
            <w:tcBorders>
              <w:bottom w:val="single" w:color="auto" w:sz="4" w:space="0"/>
            </w:tcBorders>
            <w:shd w:val="clear" w:color="auto" w:fill="auto"/>
            <w:noWrap w:val="0"/>
            <w:vAlign w:val="center"/>
          </w:tcPr>
          <w:p w14:paraId="627078A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none"/>
                <w:vertAlign w:val="baseline"/>
                <w:lang w:val="en-US" w:eastAsia="zh-CN" w:bidi="ar-SA"/>
              </w:rPr>
            </w:pPr>
            <w:r>
              <w:rPr>
                <w:rFonts w:hint="eastAsia" w:ascii="仿宋_GB2312" w:hAnsi="仿宋_GB2312" w:eastAsia="仿宋_GB2312" w:cs="仿宋_GB2312"/>
                <w:color w:val="auto"/>
                <w:kern w:val="2"/>
                <w:sz w:val="21"/>
                <w:szCs w:val="21"/>
                <w:highlight w:val="none"/>
                <w:vertAlign w:val="baseline"/>
                <w:lang w:val="en-US" w:eastAsia="zh-CN" w:bidi="ar-SA"/>
              </w:rPr>
              <w:t>97%</w:t>
            </w:r>
          </w:p>
        </w:tc>
        <w:tc>
          <w:tcPr>
            <w:tcW w:w="714" w:type="dxa"/>
            <w:tcBorders>
              <w:bottom w:val="single" w:color="auto" w:sz="4" w:space="0"/>
            </w:tcBorders>
            <w:shd w:val="clear" w:color="auto" w:fill="auto"/>
            <w:noWrap w:val="0"/>
            <w:vAlign w:val="center"/>
          </w:tcPr>
          <w:p w14:paraId="11F469D1">
            <w:pPr>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00"/>
                <w:kern w:val="2"/>
                <w:sz w:val="21"/>
                <w:szCs w:val="21"/>
                <w:highlight w:val="green"/>
                <w:vertAlign w:val="baseline"/>
                <w:lang w:val="en-US" w:eastAsia="zh-CN" w:bidi="ar-SA"/>
              </w:rPr>
            </w:pPr>
            <w:r>
              <w:rPr>
                <w:rFonts w:hint="eastAsia" w:ascii="仿宋_GB2312" w:hAnsi="仿宋_GB2312" w:eastAsia="仿宋_GB2312" w:cs="仿宋_GB2312"/>
                <w:b/>
                <w:bCs/>
                <w:color w:val="000000"/>
                <w:kern w:val="2"/>
                <w:sz w:val="21"/>
                <w:szCs w:val="21"/>
                <w:highlight w:val="none"/>
                <w:vertAlign w:val="baseline"/>
                <w:lang w:val="en-US" w:eastAsia="zh-CN" w:bidi="ar-SA"/>
              </w:rPr>
              <w:t>√</w:t>
            </w:r>
          </w:p>
        </w:tc>
      </w:tr>
    </w:tbl>
    <w:p w14:paraId="3B2AED0B">
      <w:pPr>
        <w:keepNext w:val="0"/>
        <w:keepLines w:val="0"/>
        <w:pageBreakBefore w:val="0"/>
        <w:widowControl w:val="0"/>
        <w:kinsoku/>
        <w:wordWrap/>
        <w:overflowPunct/>
        <w:topLinePunct w:val="0"/>
        <w:autoSpaceDE/>
        <w:autoSpaceDN/>
        <w:bidi w:val="0"/>
        <w:adjustRightInd/>
        <w:snapToGrid/>
        <w:spacing w:line="480" w:lineRule="exact"/>
        <w:ind w:left="0" w:leftChars="0" w:firstLine="566" w:firstLineChars="200"/>
        <w:textAlignment w:val="auto"/>
        <w:rPr>
          <w:rFonts w:hint="default" w:ascii="仿宋_GB2312" w:hAnsi="Calibri" w:eastAsia="仿宋_GB2312" w:cs="仿宋_GB2312"/>
          <w:b/>
          <w:bCs/>
          <w:color w:val="auto"/>
          <w:kern w:val="2"/>
          <w:sz w:val="28"/>
          <w:szCs w:val="28"/>
          <w:highlight w:val="none"/>
          <w:lang w:val="en-US" w:eastAsia="zh-CN" w:bidi="ar-SA"/>
        </w:rPr>
      </w:pPr>
      <w:r>
        <w:rPr>
          <w:rFonts w:hint="eastAsia" w:ascii="楷体" w:hAnsi="楷体" w:eastAsia="楷体" w:cs="楷体"/>
          <w:color w:val="auto"/>
          <w:kern w:val="2"/>
          <w:sz w:val="28"/>
          <w:szCs w:val="28"/>
          <w:highlight w:val="none"/>
          <w:lang w:val="en-US" w:eastAsia="zh-CN" w:bidi="ar-SA"/>
        </w:rPr>
        <w:t>注：此</w:t>
      </w:r>
      <w:r>
        <w:rPr>
          <w:rFonts w:hint="eastAsia" w:ascii="楷体" w:hAnsi="楷体" w:eastAsia="楷体" w:cs="楷体"/>
          <w:color w:val="auto"/>
          <w:sz w:val="28"/>
          <w:szCs w:val="28"/>
          <w:highlight w:val="none"/>
          <w:lang w:val="en-US" w:eastAsia="zh-CN"/>
        </w:rPr>
        <w:t>表中部分指标是评价组根据项目单位提供有关资料、评价组收集到的相关资料以及本次评价检查情况而调整的绩效目标及其完成值。</w:t>
      </w:r>
    </w:p>
    <w:p w14:paraId="350E535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lang w:val="en-US" w:eastAsia="zh-CN"/>
        </w:rPr>
        <w:t xml:space="preserve"> </w:t>
      </w:r>
      <w:r>
        <w:rPr>
          <w:rFonts w:hint="eastAsia" w:ascii="黑体" w:hAnsi="黑体" w:eastAsia="黑体" w:cs="黑体"/>
          <w:color w:val="auto"/>
          <w:sz w:val="32"/>
          <w:szCs w:val="32"/>
          <w:highlight w:val="none"/>
          <w:lang w:val="en-US" w:eastAsia="zh-CN"/>
        </w:rPr>
        <w:t>二</w:t>
      </w:r>
      <w:r>
        <w:rPr>
          <w:rFonts w:hint="eastAsia" w:ascii="黑体" w:hAnsi="黑体" w:eastAsia="黑体" w:cs="黑体"/>
          <w:color w:val="auto"/>
          <w:sz w:val="32"/>
          <w:szCs w:val="32"/>
          <w:highlight w:val="none"/>
        </w:rPr>
        <w:t>、绩效评价工作开展情况</w:t>
      </w:r>
    </w:p>
    <w:p w14:paraId="74CD33D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zh-CN"/>
        </w:rPr>
      </w:pPr>
      <w:r>
        <w:rPr>
          <w:rFonts w:hint="eastAsia" w:ascii="楷体" w:hAnsi="楷体" w:eastAsia="楷体" w:cs="楷体"/>
          <w:b/>
          <w:bCs/>
          <w:color w:val="auto"/>
          <w:sz w:val="32"/>
          <w:szCs w:val="32"/>
          <w:highlight w:val="none"/>
          <w:lang w:val="en-US" w:eastAsia="zh-CN"/>
        </w:rPr>
        <w:t>（一）</w:t>
      </w:r>
      <w:r>
        <w:rPr>
          <w:rFonts w:hint="eastAsia" w:ascii="楷体" w:hAnsi="楷体" w:eastAsia="楷体" w:cs="楷体"/>
          <w:b/>
          <w:bCs/>
          <w:color w:val="auto"/>
          <w:sz w:val="32"/>
          <w:szCs w:val="32"/>
          <w:highlight w:val="none"/>
          <w:lang w:val="zh-CN"/>
        </w:rPr>
        <w:t>评价依据</w:t>
      </w:r>
    </w:p>
    <w:p w14:paraId="13E38D1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1.中央、省、市、县现行相关政策文件；</w:t>
      </w:r>
      <w:bookmarkStart w:id="4" w:name="_GoBack"/>
      <w:bookmarkEnd w:id="4"/>
    </w:p>
    <w:p w14:paraId="7C97B9C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2.扶风县绛帐镇人民政府等相关文件；</w:t>
      </w:r>
    </w:p>
    <w:p w14:paraId="3ADBB5B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3.项目实施单位提供的相关资料，包括项目申报资料、项目自评报告、绩效目标表、资金到账及资金支出凭证，验收、审计相关资料，项目实施及管理等相关资料；</w:t>
      </w:r>
    </w:p>
    <w:p w14:paraId="720BB0D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4.评价工作人员通过现场调查、核实、问卷等获得的资料；</w:t>
      </w:r>
    </w:p>
    <w:p w14:paraId="6A63FDB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5.其他相关资料。</w:t>
      </w:r>
    </w:p>
    <w:p w14:paraId="7A54766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w:t>
      </w:r>
      <w:r>
        <w:rPr>
          <w:rFonts w:hint="eastAsia" w:ascii="楷体" w:hAnsi="楷体" w:eastAsia="楷体" w:cs="楷体"/>
          <w:b/>
          <w:bCs/>
          <w:color w:val="auto"/>
          <w:sz w:val="32"/>
          <w:szCs w:val="32"/>
          <w:highlight w:val="none"/>
          <w:lang w:val="en-US" w:eastAsia="zh-CN"/>
        </w:rPr>
        <w:t>二）评价目的与重点</w:t>
      </w:r>
    </w:p>
    <w:p w14:paraId="370A9A7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sz w:val="32"/>
          <w:szCs w:val="32"/>
          <w:highlight w:val="none"/>
          <w:lang w:val="en-US" w:eastAsia="zh-CN"/>
        </w:rPr>
        <w:t>1.评价目的</w:t>
      </w:r>
    </w:p>
    <w:p w14:paraId="5EDE32F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lang w:val="en-US" w:eastAsia="zh-CN"/>
        </w:rPr>
        <w:t>运用规范</w:t>
      </w:r>
      <w:r>
        <w:rPr>
          <w:rFonts w:hint="eastAsia" w:ascii="仿宋_GB2312" w:hAnsi="仿宋_GB2312" w:eastAsia="仿宋_GB2312" w:cs="仿宋_GB2312"/>
          <w:color w:val="auto"/>
          <w:kern w:val="2"/>
          <w:sz w:val="32"/>
          <w:szCs w:val="32"/>
          <w:highlight w:val="none"/>
          <w:lang w:val="en-US" w:eastAsia="zh-CN" w:bidi="ar-SA"/>
        </w:rPr>
        <w:t>的绩效指标体系和科学的评价方法，全面、客观反映财政支出项目完成情况和实施效果。同时，及时总结经验，分析存在的问题，采取有效措施改进和加强项目管理，为政府相关决策提供参考依据。</w:t>
      </w:r>
    </w:p>
    <w:p w14:paraId="096A620E">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2.评价重点</w:t>
      </w:r>
    </w:p>
    <w:p w14:paraId="50D69127">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w:t>
      </w:r>
      <w:r>
        <w:rPr>
          <w:rFonts w:hint="default" w:ascii="仿宋_GB2312" w:hAnsi="仿宋_GB2312" w:eastAsia="仿宋_GB2312" w:cs="仿宋_GB2312"/>
          <w:color w:val="auto"/>
          <w:kern w:val="2"/>
          <w:sz w:val="32"/>
          <w:szCs w:val="32"/>
          <w:highlight w:val="none"/>
          <w:lang w:val="en-US" w:eastAsia="zh-CN" w:bidi="ar-SA"/>
        </w:rPr>
        <w:t>项目目标及任务完成情况：评估项目是否按时、按质、按量完成了预定的目标和任务。</w:t>
      </w:r>
    </w:p>
    <w:p w14:paraId="1A25BA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w:t>
      </w:r>
      <w:r>
        <w:rPr>
          <w:rFonts w:hint="default" w:ascii="仿宋_GB2312" w:hAnsi="仿宋_GB2312" w:eastAsia="仿宋_GB2312" w:cs="仿宋_GB2312"/>
          <w:color w:val="auto"/>
          <w:kern w:val="2"/>
          <w:sz w:val="32"/>
          <w:szCs w:val="32"/>
          <w:highlight w:val="none"/>
          <w:lang w:val="en-US" w:eastAsia="zh-CN" w:bidi="ar-SA"/>
        </w:rPr>
        <w:t>项目质量及</w:t>
      </w:r>
      <w:r>
        <w:rPr>
          <w:rFonts w:hint="eastAsia" w:ascii="仿宋_GB2312" w:hAnsi="仿宋_GB2312" w:eastAsia="仿宋_GB2312" w:cs="仿宋_GB2312"/>
          <w:color w:val="auto"/>
          <w:kern w:val="2"/>
          <w:sz w:val="32"/>
          <w:szCs w:val="32"/>
          <w:highlight w:val="none"/>
          <w:lang w:val="en-US" w:eastAsia="zh-CN" w:bidi="ar-SA"/>
        </w:rPr>
        <w:t>成效</w:t>
      </w:r>
      <w:r>
        <w:rPr>
          <w:rFonts w:hint="default" w:ascii="仿宋_GB2312" w:hAnsi="仿宋_GB2312" w:eastAsia="仿宋_GB2312" w:cs="仿宋_GB2312"/>
          <w:color w:val="auto"/>
          <w:kern w:val="2"/>
          <w:sz w:val="32"/>
          <w:szCs w:val="32"/>
          <w:highlight w:val="none"/>
          <w:lang w:val="en-US" w:eastAsia="zh-CN" w:bidi="ar-SA"/>
        </w:rPr>
        <w:t>：考察项目的产出质量和</w:t>
      </w:r>
      <w:r>
        <w:rPr>
          <w:rFonts w:hint="eastAsia" w:ascii="仿宋_GB2312" w:hAnsi="仿宋_GB2312" w:eastAsia="仿宋_GB2312" w:cs="仿宋_GB2312"/>
          <w:color w:val="auto"/>
          <w:kern w:val="2"/>
          <w:sz w:val="32"/>
          <w:szCs w:val="32"/>
          <w:highlight w:val="none"/>
          <w:lang w:val="en-US" w:eastAsia="zh-CN" w:bidi="ar-SA"/>
        </w:rPr>
        <w:t>成效情况</w:t>
      </w:r>
      <w:r>
        <w:rPr>
          <w:rFonts w:hint="default" w:ascii="仿宋_GB2312" w:hAnsi="仿宋_GB2312" w:eastAsia="仿宋_GB2312" w:cs="仿宋_GB2312"/>
          <w:color w:val="auto"/>
          <w:kern w:val="2"/>
          <w:sz w:val="32"/>
          <w:szCs w:val="32"/>
          <w:highlight w:val="none"/>
          <w:lang w:val="en-US" w:eastAsia="zh-CN" w:bidi="ar-SA"/>
        </w:rPr>
        <w:t>。</w:t>
      </w:r>
    </w:p>
    <w:p w14:paraId="7D930783">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（3）</w:t>
      </w:r>
      <w:r>
        <w:rPr>
          <w:rFonts w:hint="default" w:ascii="仿宋_GB2312" w:hAnsi="仿宋_GB2312" w:eastAsia="仿宋_GB2312" w:cs="仿宋_GB2312"/>
          <w:color w:val="auto"/>
          <w:kern w:val="2"/>
          <w:sz w:val="32"/>
          <w:szCs w:val="32"/>
          <w:highlight w:val="none"/>
          <w:lang w:val="en-US" w:eastAsia="zh-CN" w:bidi="ar-SA"/>
        </w:rPr>
        <w:t>项目管理效能：评价项目的组织管理、财务管理、</w:t>
      </w:r>
      <w:r>
        <w:rPr>
          <w:rFonts w:hint="eastAsia" w:ascii="仿宋_GB2312" w:hAnsi="仿宋_GB2312" w:eastAsia="仿宋_GB2312" w:cs="仿宋_GB2312"/>
          <w:color w:val="auto"/>
          <w:kern w:val="2"/>
          <w:sz w:val="32"/>
          <w:szCs w:val="32"/>
          <w:highlight w:val="none"/>
          <w:lang w:val="en-US" w:eastAsia="zh-CN" w:bidi="ar-SA"/>
        </w:rPr>
        <w:t>长效</w:t>
      </w:r>
      <w:r>
        <w:rPr>
          <w:rFonts w:hint="default" w:ascii="仿宋_GB2312" w:hAnsi="仿宋_GB2312" w:eastAsia="仿宋_GB2312" w:cs="仿宋_GB2312"/>
          <w:color w:val="auto"/>
          <w:kern w:val="2"/>
          <w:sz w:val="32"/>
          <w:szCs w:val="32"/>
          <w:highlight w:val="none"/>
          <w:lang w:val="en-US" w:eastAsia="zh-CN" w:bidi="ar-SA"/>
        </w:rPr>
        <w:t>管理等方面的效率和效果。</w:t>
      </w:r>
    </w:p>
    <w:p w14:paraId="4F6E22A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firstLine="646" w:firstLineChars="200"/>
        <w:jc w:val="left"/>
        <w:textAlignment w:val="auto"/>
        <w:rPr>
          <w:rFonts w:hint="eastAsia" w:ascii="楷体" w:hAnsi="楷体" w:eastAsia="楷体" w:cs="楷体"/>
          <w:b/>
          <w:bCs/>
          <w:color w:val="auto"/>
          <w:sz w:val="32"/>
          <w:szCs w:val="32"/>
          <w:highlight w:val="green"/>
          <w:lang w:val="en-US" w:eastAsia="zh-CN"/>
        </w:rPr>
      </w:pPr>
      <w:r>
        <w:rPr>
          <w:rFonts w:hint="eastAsia" w:ascii="仿宋_GB2312" w:hAnsi="仿宋_GB2312" w:eastAsia="仿宋_GB2312" w:cs="仿宋_GB2312"/>
          <w:color w:val="auto"/>
          <w:kern w:val="2"/>
          <w:sz w:val="32"/>
          <w:szCs w:val="32"/>
          <w:highlight w:val="none"/>
          <w:lang w:val="en-US" w:eastAsia="zh-CN" w:bidi="ar-SA"/>
        </w:rPr>
        <w:t>（4）</w:t>
      </w:r>
      <w:r>
        <w:rPr>
          <w:rFonts w:hint="default" w:ascii="仿宋_GB2312" w:hAnsi="仿宋_GB2312" w:eastAsia="仿宋_GB2312" w:cs="仿宋_GB2312"/>
          <w:color w:val="auto"/>
          <w:kern w:val="2"/>
          <w:sz w:val="32"/>
          <w:szCs w:val="32"/>
          <w:highlight w:val="none"/>
          <w:lang w:val="en-US" w:eastAsia="zh-CN" w:bidi="ar-SA"/>
        </w:rPr>
        <w:t>项目的经济效益及社会效益：分析项目对经济发展的贡献以及对社会的正面影响。</w:t>
      </w:r>
    </w:p>
    <w:p w14:paraId="092B423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sz w:val="24"/>
          <w:szCs w:val="24"/>
        </w:rPr>
      </w:pPr>
      <w:r>
        <w:rPr>
          <w:rFonts w:hint="eastAsia" w:ascii="楷体" w:hAnsi="楷体" w:eastAsia="楷体" w:cs="楷体"/>
          <w:b/>
          <w:bCs/>
          <w:color w:val="auto"/>
          <w:sz w:val="32"/>
          <w:szCs w:val="32"/>
          <w:highlight w:val="none"/>
          <w:lang w:val="en-US" w:eastAsia="zh-CN"/>
        </w:rPr>
        <w:t>（三）</w:t>
      </w:r>
      <w:r>
        <w:rPr>
          <w:rFonts w:hint="eastAsia" w:ascii="楷体" w:hAnsi="楷体" w:eastAsia="楷体" w:cs="楷体"/>
          <w:b/>
          <w:bCs/>
          <w:color w:val="000000"/>
          <w:kern w:val="0"/>
          <w:sz w:val="31"/>
          <w:szCs w:val="31"/>
          <w:lang w:val="en-US" w:eastAsia="zh-CN" w:bidi="ar"/>
        </w:rPr>
        <w:t>绩效评价指标与方法</w:t>
      </w:r>
      <w:r>
        <w:rPr>
          <w:rFonts w:hint="eastAsia" w:ascii="仿宋_GB2312" w:hAnsi="宋体" w:eastAsia="仿宋_GB2312" w:cs="仿宋_GB2312"/>
          <w:color w:val="000000"/>
          <w:kern w:val="0"/>
          <w:sz w:val="24"/>
          <w:szCs w:val="24"/>
          <w:lang w:val="en-US" w:eastAsia="zh-CN" w:bidi="ar"/>
        </w:rPr>
        <w:t xml:space="preserve"> </w:t>
      </w:r>
    </w:p>
    <w:p w14:paraId="14DFF72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1.评价原则</w:t>
      </w:r>
    </w:p>
    <w:p w14:paraId="1B8A7C7B">
      <w:pPr>
        <w:spacing w:line="560" w:lineRule="exact"/>
        <w:ind w:firstLine="646"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按照科学规范、公正公开、分级分类、绩效相关的原则</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对项目进行综合评价。</w:t>
      </w:r>
    </w:p>
    <w:p w14:paraId="3FCFAC96">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2.评价指标体系</w:t>
      </w:r>
    </w:p>
    <w:p w14:paraId="4C1311A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default"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项目评价指标体系详见附件。</w:t>
      </w:r>
    </w:p>
    <w:p w14:paraId="7B5D277B">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3.评价方法</w:t>
      </w:r>
    </w:p>
    <w:p w14:paraId="2819F7A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采用比较、因素分析、公众评判等评价方法，在</w:t>
      </w:r>
      <w:r>
        <w:rPr>
          <w:rFonts w:hint="eastAsia" w:ascii="仿宋_GB2312" w:hAnsi="仿宋_GB2312" w:eastAsia="仿宋_GB2312" w:cs="仿宋_GB2312"/>
          <w:color w:val="auto"/>
          <w:kern w:val="2"/>
          <w:sz w:val="32"/>
          <w:szCs w:val="32"/>
          <w:highlight w:val="none"/>
          <w:lang w:val="zh-CN" w:eastAsia="zh-CN" w:bidi="ar-SA"/>
        </w:rPr>
        <w:t>项目单位自评</w:t>
      </w:r>
      <w:r>
        <w:rPr>
          <w:rFonts w:hint="eastAsia" w:ascii="仿宋_GB2312" w:hAnsi="仿宋_GB2312" w:eastAsia="仿宋_GB2312" w:cs="仿宋_GB2312"/>
          <w:color w:val="auto"/>
          <w:kern w:val="2"/>
          <w:sz w:val="32"/>
          <w:szCs w:val="32"/>
          <w:highlight w:val="none"/>
          <w:lang w:val="en-US" w:eastAsia="zh-CN" w:bidi="ar-SA"/>
        </w:rPr>
        <w:t>的基础上</w:t>
      </w:r>
      <w:r>
        <w:rPr>
          <w:rFonts w:hint="eastAsia" w:ascii="仿宋_GB2312" w:hAnsi="仿宋_GB2312" w:eastAsia="仿宋_GB2312" w:cs="仿宋_GB2312"/>
          <w:color w:val="auto"/>
          <w:kern w:val="2"/>
          <w:sz w:val="32"/>
          <w:szCs w:val="32"/>
          <w:highlight w:val="none"/>
          <w:lang w:val="zh-CN" w:eastAsia="zh-CN" w:bidi="ar-SA"/>
        </w:rPr>
        <w:t>，通过</w:t>
      </w:r>
      <w:r>
        <w:rPr>
          <w:rFonts w:hint="eastAsia" w:ascii="仿宋_GB2312" w:hAnsi="仿宋_GB2312" w:eastAsia="仿宋_GB2312" w:cs="仿宋_GB2312"/>
          <w:color w:val="auto"/>
          <w:kern w:val="2"/>
          <w:sz w:val="32"/>
          <w:szCs w:val="32"/>
          <w:highlight w:val="none"/>
          <w:lang w:val="en-US" w:eastAsia="zh-CN" w:bidi="ar-SA"/>
        </w:rPr>
        <w:t>统计汇总与数据</w:t>
      </w:r>
      <w:r>
        <w:rPr>
          <w:rFonts w:hint="eastAsia" w:ascii="仿宋_GB2312" w:hAnsi="仿宋_GB2312" w:eastAsia="仿宋_GB2312" w:cs="仿宋_GB2312"/>
          <w:color w:val="auto"/>
          <w:kern w:val="2"/>
          <w:sz w:val="32"/>
          <w:szCs w:val="32"/>
          <w:highlight w:val="none"/>
          <w:lang w:val="zh-CN" w:eastAsia="zh-CN" w:bidi="ar-SA"/>
        </w:rPr>
        <w:t>分析、整体评价与现场评价、</w:t>
      </w:r>
      <w:r>
        <w:rPr>
          <w:rFonts w:hint="eastAsia" w:ascii="仿宋_GB2312" w:hAnsi="仿宋_GB2312" w:eastAsia="仿宋_GB2312" w:cs="仿宋_GB2312"/>
          <w:color w:val="auto"/>
          <w:kern w:val="2"/>
          <w:sz w:val="32"/>
          <w:szCs w:val="32"/>
          <w:highlight w:val="none"/>
          <w:lang w:val="en-US" w:eastAsia="zh-CN" w:bidi="ar-SA"/>
        </w:rPr>
        <w:t>走访惠及群众及</w:t>
      </w:r>
      <w:r>
        <w:rPr>
          <w:rFonts w:hint="eastAsia" w:ascii="仿宋_GB2312" w:hAnsi="仿宋_GB2312" w:eastAsia="仿宋_GB2312" w:cs="仿宋_GB2312"/>
          <w:color w:val="auto"/>
          <w:kern w:val="2"/>
          <w:sz w:val="32"/>
          <w:szCs w:val="32"/>
          <w:highlight w:val="none"/>
          <w:lang w:val="zh-CN" w:eastAsia="zh-CN" w:bidi="ar-SA"/>
        </w:rPr>
        <w:t>问卷调查等方式进行</w:t>
      </w:r>
      <w:r>
        <w:rPr>
          <w:rFonts w:hint="eastAsia" w:ascii="仿宋_GB2312" w:hAnsi="仿宋_GB2312" w:eastAsia="仿宋_GB2312" w:cs="仿宋_GB2312"/>
          <w:color w:val="auto"/>
          <w:kern w:val="2"/>
          <w:sz w:val="32"/>
          <w:szCs w:val="32"/>
          <w:highlight w:val="none"/>
          <w:lang w:val="en-US" w:eastAsia="zh-CN" w:bidi="ar-SA"/>
        </w:rPr>
        <w:t>绩效</w:t>
      </w:r>
      <w:r>
        <w:rPr>
          <w:rFonts w:hint="eastAsia" w:ascii="仿宋_GB2312" w:hAnsi="仿宋_GB2312" w:eastAsia="仿宋_GB2312" w:cs="仿宋_GB2312"/>
          <w:color w:val="auto"/>
          <w:kern w:val="2"/>
          <w:sz w:val="32"/>
          <w:szCs w:val="32"/>
          <w:highlight w:val="none"/>
          <w:lang w:val="zh-CN" w:eastAsia="zh-CN" w:bidi="ar-SA"/>
        </w:rPr>
        <w:t>评价，形成</w:t>
      </w:r>
      <w:r>
        <w:rPr>
          <w:rFonts w:hint="eastAsia" w:ascii="仿宋_GB2312" w:hAnsi="仿宋_GB2312" w:eastAsia="仿宋_GB2312" w:cs="仿宋_GB2312"/>
          <w:color w:val="auto"/>
          <w:kern w:val="2"/>
          <w:sz w:val="32"/>
          <w:szCs w:val="32"/>
          <w:highlight w:val="none"/>
          <w:lang w:val="en-US" w:eastAsia="zh-CN" w:bidi="ar-SA"/>
        </w:rPr>
        <w:t>评价结论，</w:t>
      </w:r>
      <w:r>
        <w:rPr>
          <w:rFonts w:hint="eastAsia" w:ascii="仿宋_GB2312" w:hAnsi="仿宋_GB2312" w:eastAsia="仿宋_GB2312" w:cs="仿宋_GB2312"/>
          <w:color w:val="auto"/>
          <w:kern w:val="2"/>
          <w:sz w:val="32"/>
          <w:szCs w:val="32"/>
          <w:highlight w:val="none"/>
          <w:lang w:val="zh-CN" w:eastAsia="zh-CN" w:bidi="ar-SA"/>
        </w:rPr>
        <w:t>撰写</w:t>
      </w:r>
      <w:r>
        <w:rPr>
          <w:rFonts w:hint="eastAsia" w:ascii="仿宋_GB2312" w:hAnsi="仿宋_GB2312" w:eastAsia="仿宋_GB2312" w:cs="仿宋_GB2312"/>
          <w:color w:val="auto"/>
          <w:kern w:val="2"/>
          <w:sz w:val="32"/>
          <w:szCs w:val="32"/>
          <w:highlight w:val="none"/>
          <w:lang w:val="en-US" w:eastAsia="zh-CN" w:bidi="ar-SA"/>
        </w:rPr>
        <w:t>评价</w:t>
      </w:r>
      <w:r>
        <w:rPr>
          <w:rFonts w:hint="eastAsia" w:ascii="仿宋_GB2312" w:hAnsi="仿宋_GB2312" w:eastAsia="仿宋_GB2312" w:cs="仿宋_GB2312"/>
          <w:color w:val="auto"/>
          <w:kern w:val="2"/>
          <w:sz w:val="32"/>
          <w:szCs w:val="32"/>
          <w:highlight w:val="none"/>
          <w:lang w:val="zh-CN" w:eastAsia="zh-CN" w:bidi="ar-SA"/>
        </w:rPr>
        <w:t>报告</w:t>
      </w:r>
      <w:r>
        <w:rPr>
          <w:rFonts w:hint="eastAsia" w:ascii="仿宋_GB2312" w:hAnsi="仿宋_GB2312" w:eastAsia="仿宋_GB2312" w:cs="仿宋_GB2312"/>
          <w:color w:val="auto"/>
          <w:kern w:val="2"/>
          <w:sz w:val="32"/>
          <w:szCs w:val="32"/>
          <w:highlight w:val="none"/>
          <w:lang w:val="en-US" w:eastAsia="zh-CN" w:bidi="ar-SA"/>
        </w:rPr>
        <w:t>。</w:t>
      </w:r>
    </w:p>
    <w:p w14:paraId="04C80F34">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360" w:leftChars="0" w:right="0" w:rightChars="0" w:firstLine="969" w:firstLineChars="300"/>
        <w:jc w:val="left"/>
        <w:textAlignment w:val="auto"/>
        <w:rPr>
          <w:rFonts w:hint="eastAsia" w:ascii="仿宋_GB2312" w:hAnsi="仿宋_GB2312" w:eastAsia="仿宋_GB2312" w:cs="仿宋_GB2312"/>
          <w:b/>
          <w:bCs/>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highlight w:val="none"/>
          <w:lang w:val="en-US" w:eastAsia="zh-CN" w:bidi="ar-SA"/>
        </w:rPr>
        <w:t>4.评价标准</w:t>
      </w:r>
    </w:p>
    <w:p w14:paraId="73A9C2C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kern w:val="2"/>
          <w:sz w:val="32"/>
          <w:szCs w:val="32"/>
          <w:highlight w:val="none"/>
          <w:lang w:val="en-US" w:eastAsia="zh-CN" w:bidi="ar-SA"/>
        </w:rPr>
        <w:t>2024年宝鸡峡渭高干渠凤鸣中坡段排险除患经费项目绩效评价采</w:t>
      </w:r>
      <w:r>
        <w:rPr>
          <w:rFonts w:hint="eastAsia" w:ascii="仿宋_GB2312" w:hAnsi="仿宋_GB2312" w:eastAsia="仿宋_GB2312" w:cs="仿宋_GB2312"/>
          <w:color w:val="auto"/>
          <w:sz w:val="32"/>
          <w:szCs w:val="32"/>
          <w:highlight w:val="none"/>
        </w:rPr>
        <w:t>用百分制得分。评价指标共设置</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个一级指标、</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个二级指标、</w:t>
      </w:r>
      <w:r>
        <w:rPr>
          <w:rFonts w:hint="eastAsia" w:ascii="仿宋_GB2312" w:hAnsi="仿宋_GB2312" w:eastAsia="仿宋_GB2312" w:cs="仿宋_GB2312"/>
          <w:color w:val="auto"/>
          <w:sz w:val="32"/>
          <w:szCs w:val="32"/>
          <w:highlight w:val="none"/>
          <w:lang w:val="en-US" w:eastAsia="zh-CN"/>
        </w:rPr>
        <w:t>24</w:t>
      </w:r>
      <w:r>
        <w:rPr>
          <w:rFonts w:hint="eastAsia" w:ascii="仿宋_GB2312" w:hAnsi="仿宋_GB2312" w:eastAsia="仿宋_GB2312" w:cs="仿宋_GB2312"/>
          <w:color w:val="auto"/>
          <w:sz w:val="32"/>
          <w:szCs w:val="32"/>
          <w:highlight w:val="none"/>
        </w:rPr>
        <w:t>个三级指标</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评价结果分为优</w:t>
      </w:r>
      <w:r>
        <w:rPr>
          <w:rFonts w:hint="eastAsia" w:ascii="仿宋_GB2312" w:hAnsi="仿宋_GB2312" w:eastAsia="仿宋_GB2312" w:cs="仿宋_GB2312"/>
          <w:color w:val="auto"/>
          <w:sz w:val="32"/>
          <w:szCs w:val="32"/>
          <w:highlight w:val="none"/>
          <w:lang w:val="en-US" w:eastAsia="zh-CN"/>
        </w:rPr>
        <w:t>秀</w:t>
      </w:r>
      <w:r>
        <w:rPr>
          <w:rFonts w:hint="eastAsia" w:ascii="仿宋_GB2312" w:hAnsi="仿宋_GB2312" w:eastAsia="仿宋_GB2312" w:cs="仿宋_GB2312"/>
          <w:color w:val="auto"/>
          <w:sz w:val="32"/>
          <w:szCs w:val="32"/>
          <w:highlight w:val="none"/>
        </w:rPr>
        <w:t>、良</w:t>
      </w:r>
      <w:r>
        <w:rPr>
          <w:rFonts w:hint="eastAsia" w:ascii="仿宋_GB2312" w:hAnsi="仿宋_GB2312" w:eastAsia="仿宋_GB2312" w:cs="仿宋_GB2312"/>
          <w:color w:val="auto"/>
          <w:sz w:val="32"/>
          <w:szCs w:val="32"/>
          <w:highlight w:val="none"/>
          <w:lang w:val="en-US" w:eastAsia="zh-CN"/>
        </w:rPr>
        <w:t>好</w:t>
      </w:r>
      <w:r>
        <w:rPr>
          <w:rFonts w:hint="eastAsia" w:ascii="仿宋_GB2312" w:hAnsi="仿宋_GB2312" w:eastAsia="仿宋_GB2312" w:cs="仿宋_GB2312"/>
          <w:color w:val="auto"/>
          <w:sz w:val="32"/>
          <w:szCs w:val="32"/>
          <w:highlight w:val="none"/>
        </w:rPr>
        <w:t>、一般、差4个评价等次，根据计算结果的分值，确定评价项目最后达到的等次。具体</w:t>
      </w:r>
      <w:r>
        <w:rPr>
          <w:rFonts w:hint="eastAsia" w:ascii="仿宋_GB2312" w:hAnsi="仿宋_GB2312" w:eastAsia="仿宋_GB2312" w:cs="仿宋_GB2312"/>
          <w:color w:val="auto"/>
          <w:sz w:val="32"/>
          <w:szCs w:val="32"/>
          <w:highlight w:val="none"/>
          <w:lang w:val="en-US" w:eastAsia="zh-CN"/>
        </w:rPr>
        <w:t>见表5。</w:t>
      </w:r>
    </w:p>
    <w:p w14:paraId="15FBFA77">
      <w:pPr>
        <w:pStyle w:val="2"/>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eastAsia="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lang w:val="en-US" w:eastAsia="zh-CN"/>
        </w:rPr>
        <w:t>表5   评价结果等次表</w:t>
      </w:r>
    </w:p>
    <w:tbl>
      <w:tblPr>
        <w:tblStyle w:val="15"/>
        <w:tblW w:w="8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2"/>
        <w:gridCol w:w="1264"/>
        <w:gridCol w:w="2028"/>
        <w:gridCol w:w="2262"/>
        <w:gridCol w:w="1363"/>
      </w:tblGrid>
      <w:tr w14:paraId="1314B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1592" w:type="dxa"/>
            <w:tcBorders>
              <w:left w:val="nil"/>
            </w:tcBorders>
            <w:shd w:val="clear" w:color="auto" w:fill="D7D7D7"/>
            <w:noWrap w:val="0"/>
            <w:vAlign w:val="center"/>
          </w:tcPr>
          <w:p w14:paraId="7BCCFB7E">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评价等次</w:t>
            </w:r>
          </w:p>
        </w:tc>
        <w:tc>
          <w:tcPr>
            <w:tcW w:w="1264" w:type="dxa"/>
            <w:shd w:val="clear" w:color="auto" w:fill="D7D7D7"/>
            <w:noWrap w:val="0"/>
            <w:vAlign w:val="center"/>
          </w:tcPr>
          <w:p w14:paraId="16A2260A">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rPr>
              <w:t>优</w:t>
            </w:r>
            <w:r>
              <w:rPr>
                <w:rFonts w:hint="eastAsia" w:ascii="仿宋_GB2312" w:hAnsi="仿宋_GB2312" w:eastAsia="仿宋_GB2312" w:cs="仿宋_GB2312"/>
                <w:b/>
                <w:bCs/>
                <w:color w:val="auto"/>
                <w:sz w:val="28"/>
                <w:szCs w:val="28"/>
                <w:highlight w:val="none"/>
                <w:lang w:val="en-US" w:eastAsia="zh-CN"/>
              </w:rPr>
              <w:t>秀</w:t>
            </w:r>
          </w:p>
        </w:tc>
        <w:tc>
          <w:tcPr>
            <w:tcW w:w="2028" w:type="dxa"/>
            <w:shd w:val="clear" w:color="auto" w:fill="D7D7D7"/>
            <w:noWrap w:val="0"/>
            <w:vAlign w:val="center"/>
          </w:tcPr>
          <w:p w14:paraId="2E74B821">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lang w:val="en-US" w:eastAsia="zh-CN"/>
              </w:rPr>
            </w:pPr>
            <w:r>
              <w:rPr>
                <w:rFonts w:hint="eastAsia" w:ascii="仿宋_GB2312" w:hAnsi="仿宋_GB2312" w:eastAsia="仿宋_GB2312" w:cs="仿宋_GB2312"/>
                <w:b/>
                <w:bCs/>
                <w:color w:val="auto"/>
                <w:sz w:val="28"/>
                <w:szCs w:val="28"/>
                <w:highlight w:val="none"/>
              </w:rPr>
              <w:t>良</w:t>
            </w:r>
            <w:r>
              <w:rPr>
                <w:rFonts w:hint="eastAsia" w:ascii="仿宋_GB2312" w:hAnsi="仿宋_GB2312" w:eastAsia="仿宋_GB2312" w:cs="仿宋_GB2312"/>
                <w:b/>
                <w:bCs/>
                <w:color w:val="auto"/>
                <w:sz w:val="28"/>
                <w:szCs w:val="28"/>
                <w:highlight w:val="none"/>
                <w:lang w:val="en-US" w:eastAsia="zh-CN"/>
              </w:rPr>
              <w:t>好</w:t>
            </w:r>
          </w:p>
        </w:tc>
        <w:tc>
          <w:tcPr>
            <w:tcW w:w="2262" w:type="dxa"/>
            <w:shd w:val="clear" w:color="auto" w:fill="D7D7D7"/>
            <w:noWrap w:val="0"/>
            <w:vAlign w:val="center"/>
          </w:tcPr>
          <w:p w14:paraId="4ABCFAE1">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一般</w:t>
            </w:r>
          </w:p>
        </w:tc>
        <w:tc>
          <w:tcPr>
            <w:tcW w:w="1363" w:type="dxa"/>
            <w:tcBorders>
              <w:right w:val="nil"/>
            </w:tcBorders>
            <w:shd w:val="clear" w:color="auto" w:fill="D7D7D7"/>
            <w:noWrap w:val="0"/>
            <w:vAlign w:val="center"/>
          </w:tcPr>
          <w:p w14:paraId="5381D6D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b/>
                <w:bCs/>
                <w:color w:val="auto"/>
                <w:sz w:val="28"/>
                <w:szCs w:val="28"/>
                <w:highlight w:val="none"/>
              </w:rPr>
            </w:pPr>
            <w:r>
              <w:rPr>
                <w:rFonts w:hint="eastAsia" w:ascii="仿宋_GB2312" w:hAnsi="仿宋_GB2312" w:eastAsia="仿宋_GB2312" w:cs="仿宋_GB2312"/>
                <w:b/>
                <w:bCs/>
                <w:color w:val="auto"/>
                <w:sz w:val="28"/>
                <w:szCs w:val="28"/>
                <w:highlight w:val="none"/>
              </w:rPr>
              <w:t>差</w:t>
            </w:r>
          </w:p>
        </w:tc>
      </w:tr>
      <w:tr w14:paraId="0AF2E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592" w:type="dxa"/>
            <w:tcBorders>
              <w:left w:val="nil"/>
            </w:tcBorders>
            <w:noWrap w:val="0"/>
            <w:vAlign w:val="center"/>
          </w:tcPr>
          <w:p w14:paraId="3AE4648B">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分值S</w:t>
            </w:r>
          </w:p>
        </w:tc>
        <w:tc>
          <w:tcPr>
            <w:tcW w:w="1264" w:type="dxa"/>
            <w:noWrap w:val="0"/>
            <w:vAlign w:val="center"/>
          </w:tcPr>
          <w:p w14:paraId="72BF6067">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S ≥ 90</w:t>
            </w:r>
          </w:p>
        </w:tc>
        <w:tc>
          <w:tcPr>
            <w:tcW w:w="2028" w:type="dxa"/>
            <w:noWrap w:val="0"/>
            <w:vAlign w:val="center"/>
          </w:tcPr>
          <w:p w14:paraId="4212C115">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90＞ S ≥ 80</w:t>
            </w:r>
          </w:p>
        </w:tc>
        <w:tc>
          <w:tcPr>
            <w:tcW w:w="2262" w:type="dxa"/>
            <w:noWrap w:val="0"/>
            <w:vAlign w:val="center"/>
          </w:tcPr>
          <w:p w14:paraId="0EBA1D04">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80 ＞ S ≥ 60</w:t>
            </w:r>
          </w:p>
        </w:tc>
        <w:tc>
          <w:tcPr>
            <w:tcW w:w="1363" w:type="dxa"/>
            <w:tcBorders>
              <w:right w:val="nil"/>
            </w:tcBorders>
            <w:noWrap w:val="0"/>
            <w:vAlign w:val="center"/>
          </w:tcPr>
          <w:p w14:paraId="69F1614F">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right="0" w:rightChars="0" w:firstLine="0" w:firstLineChars="0"/>
              <w:jc w:val="center"/>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S ＜ 60</w:t>
            </w:r>
          </w:p>
        </w:tc>
      </w:tr>
    </w:tbl>
    <w:p w14:paraId="7786726E">
      <w:pPr>
        <w:keepNext w:val="0"/>
        <w:keepLines w:val="0"/>
        <w:pageBreakBefore w:val="0"/>
        <w:widowControl w:val="0"/>
        <w:kinsoku/>
        <w:wordWrap/>
        <w:overflowPunct/>
        <w:topLinePunct w:val="0"/>
        <w:autoSpaceDE/>
        <w:autoSpaceDN/>
        <w:bidi w:val="0"/>
        <w:adjustRightInd/>
        <w:snapToGrid/>
        <w:spacing w:before="165" w:beforeLines="50"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（四）绩效评价工作过程</w:t>
      </w:r>
    </w:p>
    <w:p w14:paraId="4BAB845E">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rPr>
        <w:t>为了做好本次绩效评价工作，</w:t>
      </w:r>
      <w:r>
        <w:rPr>
          <w:rFonts w:hint="eastAsia" w:ascii="仿宋_GB2312" w:hAnsi="仿宋_GB2312" w:eastAsia="仿宋_GB2312" w:cs="仿宋_GB2312"/>
          <w:color w:val="000000"/>
          <w:sz w:val="32"/>
          <w:szCs w:val="32"/>
          <w:highlight w:val="none"/>
          <w:lang w:val="en-US" w:eastAsia="zh-CN"/>
        </w:rPr>
        <w:t>我们按照</w:t>
      </w:r>
      <w:r>
        <w:rPr>
          <w:rFonts w:hint="eastAsia" w:ascii="仿宋_GB2312" w:hAnsi="仿宋_GB2312" w:eastAsia="仿宋_GB2312" w:cs="仿宋_GB2312"/>
          <w:color w:val="000000"/>
          <w:sz w:val="32"/>
          <w:szCs w:val="32"/>
          <w:highlight w:val="none"/>
        </w:rPr>
        <w:t>准备阶段</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实施阶段（</w:t>
      </w:r>
      <w:r>
        <w:rPr>
          <w:rFonts w:hint="default" w:ascii="仿宋_GB2312" w:hAnsi="仿宋_GB2312" w:eastAsia="仿宋_GB2312" w:cs="仿宋_GB2312"/>
          <w:color w:val="000000"/>
          <w:sz w:val="32"/>
          <w:szCs w:val="32"/>
          <w:highlight w:val="none"/>
          <w:lang w:val="en-US" w:eastAsia="zh-CN"/>
        </w:rPr>
        <w:t>资料收集和初审</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现场考察</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数据整理与分析</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综合评价</w:t>
      </w:r>
      <w:r>
        <w:rPr>
          <w:rFonts w:hint="eastAsia" w:ascii="仿宋_GB2312" w:hAnsi="仿宋_GB2312" w:eastAsia="仿宋_GB2312" w:cs="仿宋_GB2312"/>
          <w:color w:val="000000"/>
          <w:sz w:val="32"/>
          <w:szCs w:val="32"/>
          <w:highlight w:val="none"/>
          <w:lang w:val="en-US" w:eastAsia="zh-CN"/>
        </w:rPr>
        <w:t>）、报告撰写与提交阶段（</w:t>
      </w:r>
      <w:r>
        <w:rPr>
          <w:rFonts w:hint="default" w:ascii="仿宋_GB2312" w:hAnsi="仿宋_GB2312" w:eastAsia="仿宋_GB2312" w:cs="仿宋_GB2312"/>
          <w:color w:val="000000"/>
          <w:sz w:val="32"/>
          <w:szCs w:val="32"/>
          <w:highlight w:val="none"/>
          <w:lang w:val="en-US" w:eastAsia="zh-CN"/>
        </w:rPr>
        <w:t>撰写评价报告</w:t>
      </w:r>
      <w:r>
        <w:rPr>
          <w:rFonts w:hint="eastAsia" w:ascii="仿宋_GB2312" w:hAnsi="仿宋_GB2312" w:eastAsia="仿宋_GB2312" w:cs="仿宋_GB2312"/>
          <w:color w:val="000000"/>
          <w:sz w:val="32"/>
          <w:szCs w:val="32"/>
          <w:highlight w:val="none"/>
          <w:lang w:val="en-US" w:eastAsia="zh-CN"/>
        </w:rPr>
        <w:t>、</w:t>
      </w:r>
      <w:r>
        <w:rPr>
          <w:rFonts w:hint="default" w:ascii="仿宋_GB2312" w:hAnsi="仿宋_GB2312" w:eastAsia="仿宋_GB2312" w:cs="仿宋_GB2312"/>
          <w:color w:val="000000"/>
          <w:sz w:val="32"/>
          <w:szCs w:val="32"/>
          <w:highlight w:val="none"/>
          <w:lang w:val="en-US" w:eastAsia="zh-CN"/>
        </w:rPr>
        <w:t>提交报告</w:t>
      </w:r>
      <w:r>
        <w:rPr>
          <w:rFonts w:hint="eastAsia" w:ascii="仿宋_GB2312" w:hAnsi="仿宋_GB2312" w:eastAsia="仿宋_GB2312" w:cs="仿宋_GB2312"/>
          <w:color w:val="000000"/>
          <w:sz w:val="32"/>
          <w:szCs w:val="32"/>
          <w:highlight w:val="none"/>
          <w:lang w:val="en-US" w:eastAsia="zh-CN"/>
        </w:rPr>
        <w:t>等）和</w:t>
      </w:r>
      <w:r>
        <w:rPr>
          <w:rFonts w:hint="default" w:ascii="仿宋_GB2312" w:hAnsi="仿宋_GB2312" w:eastAsia="仿宋_GB2312" w:cs="仿宋_GB2312"/>
          <w:color w:val="000000"/>
          <w:sz w:val="32"/>
          <w:szCs w:val="32"/>
          <w:highlight w:val="none"/>
          <w:lang w:val="en-US" w:eastAsia="zh-CN"/>
        </w:rPr>
        <w:t>结果应用</w:t>
      </w:r>
      <w:r>
        <w:rPr>
          <w:rFonts w:hint="eastAsia" w:ascii="仿宋_GB2312" w:hAnsi="仿宋_GB2312" w:eastAsia="仿宋_GB2312" w:cs="仿宋_GB2312"/>
          <w:color w:val="000000"/>
          <w:sz w:val="32"/>
          <w:szCs w:val="32"/>
          <w:highlight w:val="none"/>
          <w:lang w:val="en-US" w:eastAsia="zh-CN"/>
        </w:rPr>
        <w:t>等四个</w:t>
      </w:r>
      <w:r>
        <w:rPr>
          <w:rFonts w:hint="default" w:ascii="仿宋_GB2312" w:hAnsi="仿宋_GB2312" w:eastAsia="仿宋_GB2312" w:cs="仿宋_GB2312"/>
          <w:color w:val="000000"/>
          <w:sz w:val="32"/>
          <w:szCs w:val="32"/>
          <w:highlight w:val="none"/>
          <w:lang w:val="en-US" w:eastAsia="zh-CN"/>
        </w:rPr>
        <w:t>阶段</w:t>
      </w:r>
      <w:r>
        <w:rPr>
          <w:rFonts w:hint="eastAsia" w:ascii="仿宋_GB2312" w:hAnsi="仿宋_GB2312" w:eastAsia="仿宋_GB2312" w:cs="仿宋_GB2312"/>
          <w:color w:val="000000"/>
          <w:sz w:val="32"/>
          <w:szCs w:val="32"/>
          <w:highlight w:val="none"/>
          <w:lang w:val="en-US" w:eastAsia="zh-CN"/>
        </w:rPr>
        <w:t>，</w:t>
      </w:r>
      <w:r>
        <w:rPr>
          <w:rFonts w:hint="eastAsia" w:ascii="仿宋_GB2312" w:hAnsi="仿宋_GB2312" w:eastAsia="仿宋_GB2312" w:cs="仿宋_GB2312"/>
          <w:color w:val="000000"/>
          <w:sz w:val="32"/>
          <w:szCs w:val="32"/>
          <w:highlight w:val="none"/>
        </w:rPr>
        <w:t>采取项目单位自评、收集项目相关资料、数据分析、现场调查和问卷调查相结合的方法</w:t>
      </w:r>
      <w:r>
        <w:rPr>
          <w:rFonts w:hint="eastAsia" w:ascii="仿宋_GB2312" w:hAnsi="仿宋_GB2312" w:eastAsia="仿宋_GB2312" w:cs="仿宋_GB2312"/>
          <w:color w:val="000000"/>
          <w:sz w:val="32"/>
          <w:szCs w:val="32"/>
          <w:highlight w:val="none"/>
          <w:lang w:val="en-US" w:eastAsia="zh-CN"/>
        </w:rPr>
        <w:t>对</w:t>
      </w:r>
      <w:r>
        <w:rPr>
          <w:rFonts w:hint="eastAsia" w:ascii="仿宋_GB2312" w:hAnsi="仿宋_GB2312" w:eastAsia="仿宋_GB2312" w:cs="仿宋_GB2312"/>
          <w:color w:val="000000"/>
          <w:sz w:val="32"/>
          <w:szCs w:val="32"/>
          <w:highlight w:val="none"/>
        </w:rPr>
        <w:t>该</w:t>
      </w:r>
      <w:r>
        <w:rPr>
          <w:rFonts w:hint="eastAsia" w:ascii="仿宋_GB2312" w:hAnsi="仿宋_GB2312" w:eastAsia="仿宋_GB2312" w:cs="仿宋_GB2312"/>
          <w:color w:val="000000"/>
          <w:sz w:val="32"/>
          <w:szCs w:val="32"/>
          <w:highlight w:val="none"/>
          <w:lang w:val="en-US" w:eastAsia="zh-CN"/>
        </w:rPr>
        <w:t>项目</w:t>
      </w:r>
      <w:r>
        <w:rPr>
          <w:rFonts w:hint="eastAsia" w:ascii="仿宋_GB2312" w:hAnsi="仿宋_GB2312" w:eastAsia="仿宋_GB2312" w:cs="仿宋_GB2312"/>
          <w:color w:val="000000"/>
          <w:sz w:val="32"/>
          <w:szCs w:val="32"/>
          <w:highlight w:val="none"/>
        </w:rPr>
        <w:t>开展了现场评价。经过分析研究，并征求相关部门意见，得出该项目绩效评价结论</w:t>
      </w:r>
      <w:r>
        <w:rPr>
          <w:rFonts w:hint="default" w:ascii="仿宋_GB2312" w:hAnsi="仿宋_GB2312" w:eastAsia="仿宋_GB2312" w:cs="仿宋_GB2312"/>
          <w:color w:val="auto"/>
          <w:sz w:val="32"/>
          <w:szCs w:val="32"/>
          <w:highlight w:val="none"/>
          <w:lang w:val="en-US" w:eastAsia="zh-CN"/>
        </w:rPr>
        <w:t>。</w:t>
      </w:r>
    </w:p>
    <w:p w14:paraId="16316DB5">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（五）评价局限性</w:t>
      </w:r>
    </w:p>
    <w:p w14:paraId="0551252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bidi="ar-SA"/>
        </w:rPr>
        <w:t>尽管评价组在评价中力求科学、规范、客观和公正，但在实际评价过程中依然存在局限性：一是由于评价时间、人力等限制，获取数据与信息来源存在局限性；二是评价工作人员知识面、经验等限制，在理解和判断上存在认知局限性；三是受问卷调查覆盖面及被调查者认知、愿望等方面的主观倾向性限制，公众满意度测评结果可能存在一定局限性。</w:t>
      </w:r>
    </w:p>
    <w:p w14:paraId="0B022CB6">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 xml:space="preserve">三、综合评价情况及评价结论（附相关评分表） </w:t>
      </w:r>
    </w:p>
    <w:p w14:paraId="1D91E715">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仿宋_GB2312" w:hAnsi="宋体" w:eastAsia="仿宋_GB2312" w:cs="仿宋_GB2312"/>
          <w:color w:val="000000"/>
          <w:kern w:val="0"/>
          <w:sz w:val="32"/>
          <w:szCs w:val="32"/>
          <w:lang w:val="en-US" w:eastAsia="zh-CN" w:bidi="ar"/>
        </w:rPr>
      </w:pPr>
      <w:r>
        <w:rPr>
          <w:rFonts w:hint="eastAsia" w:ascii="仿宋_GB2312" w:hAnsi="仿宋_GB2312" w:eastAsia="仿宋_GB2312" w:cs="仿宋_GB2312"/>
          <w:color w:val="auto"/>
          <w:kern w:val="2"/>
          <w:sz w:val="32"/>
          <w:szCs w:val="32"/>
          <w:highlight w:val="none"/>
          <w:lang w:val="en-US" w:eastAsia="zh-CN" w:bidi="ar-SA"/>
        </w:rPr>
        <w:t>2024年宝鸡峡渭高干渠凤鸣中坡段排险除患经费项目</w:t>
      </w:r>
      <w:r>
        <w:rPr>
          <w:rFonts w:hint="eastAsia" w:ascii="仿宋_GB2312" w:hAnsi="仿宋_GB2312" w:eastAsia="仿宋_GB2312" w:cs="仿宋_GB2312"/>
          <w:color w:val="auto"/>
          <w:sz w:val="32"/>
          <w:szCs w:val="32"/>
          <w:highlight w:val="none"/>
          <w:lang w:val="en-US" w:eastAsia="zh-CN"/>
        </w:rPr>
        <w:t>资金安排符合相关法律、法规及政策要求，符合扶风县排险除患基础设施建设和经济社会高质量发展需要，立项依据充分、程序规范，资金到位及时，预算资金到位率及执行率高，资金使用合规，项目产出数量、质量指标完成较好。但项目实施方案及计划不到位，预算不够精准，相关管理工作及绩效管理工作不到位。结合单位自评、信息采集、问卷调查等情况，经评价组认真评价，项目绩效评价综合得分80.5分，整体评价结论为良好，详见表6。</w:t>
      </w:r>
    </w:p>
    <w:p w14:paraId="1E985BBF">
      <w:pPr>
        <w:keepNext w:val="0"/>
        <w:keepLines w:val="0"/>
        <w:widowControl/>
        <w:suppressLineNumbers w:val="0"/>
        <w:jc w:val="center"/>
        <w:rPr>
          <w:highlight w:val="none"/>
        </w:rPr>
      </w:pPr>
      <w:r>
        <w:rPr>
          <w:rFonts w:ascii="仿宋_GB2312" w:hAnsi="宋体" w:eastAsia="仿宋_GB2312" w:cs="仿宋_GB2312"/>
          <w:b/>
          <w:bCs/>
          <w:color w:val="000000"/>
          <w:kern w:val="0"/>
          <w:sz w:val="28"/>
          <w:szCs w:val="28"/>
          <w:highlight w:val="none"/>
          <w:lang w:val="en-US" w:eastAsia="zh-CN" w:bidi="ar"/>
        </w:rPr>
        <w:t>表</w:t>
      </w:r>
      <w:r>
        <w:rPr>
          <w:rFonts w:hint="eastAsia" w:ascii="仿宋_GB2312" w:hAnsi="宋体" w:eastAsia="仿宋_GB2312" w:cs="仿宋_GB2312"/>
          <w:b/>
          <w:bCs/>
          <w:color w:val="000000"/>
          <w:kern w:val="0"/>
          <w:sz w:val="28"/>
          <w:szCs w:val="28"/>
          <w:highlight w:val="none"/>
          <w:lang w:val="en-US" w:eastAsia="zh-CN" w:bidi="ar"/>
        </w:rPr>
        <w:t xml:space="preserve">6   </w:t>
      </w:r>
      <w:r>
        <w:rPr>
          <w:rFonts w:ascii="仿宋_GB2312" w:hAnsi="宋体" w:eastAsia="仿宋_GB2312" w:cs="仿宋_GB2312"/>
          <w:b/>
          <w:bCs/>
          <w:color w:val="000000"/>
          <w:kern w:val="0"/>
          <w:sz w:val="28"/>
          <w:szCs w:val="28"/>
          <w:highlight w:val="none"/>
          <w:lang w:val="en-US" w:eastAsia="zh-CN" w:bidi="ar"/>
        </w:rPr>
        <w:t xml:space="preserve"> </w:t>
      </w:r>
      <w:r>
        <w:rPr>
          <w:rFonts w:hint="eastAsia" w:ascii="仿宋_GB2312" w:hAnsi="宋体" w:eastAsia="仿宋_GB2312" w:cs="仿宋_GB2312"/>
          <w:b/>
          <w:bCs/>
          <w:color w:val="000000"/>
          <w:kern w:val="0"/>
          <w:sz w:val="28"/>
          <w:szCs w:val="28"/>
          <w:highlight w:val="none"/>
          <w:lang w:val="en-US" w:eastAsia="zh-CN" w:bidi="ar"/>
        </w:rPr>
        <w:t>项目</w:t>
      </w:r>
      <w:r>
        <w:rPr>
          <w:rFonts w:ascii="仿宋_GB2312" w:hAnsi="宋体" w:eastAsia="仿宋_GB2312" w:cs="仿宋_GB2312"/>
          <w:b/>
          <w:bCs/>
          <w:color w:val="000000"/>
          <w:kern w:val="0"/>
          <w:sz w:val="28"/>
          <w:szCs w:val="28"/>
          <w:highlight w:val="none"/>
          <w:lang w:val="en-US" w:eastAsia="zh-CN" w:bidi="ar"/>
        </w:rPr>
        <w:t>指标评分表</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7"/>
        <w:gridCol w:w="2313"/>
        <w:gridCol w:w="2216"/>
        <w:gridCol w:w="2071"/>
      </w:tblGrid>
      <w:tr w14:paraId="41B80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shd w:val="clear" w:color="auto" w:fill="D7D7D7"/>
            <w:noWrap w:val="0"/>
            <w:vAlign w:val="center"/>
          </w:tcPr>
          <w:p w14:paraId="44345C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一级指标</w:t>
            </w:r>
          </w:p>
        </w:tc>
        <w:tc>
          <w:tcPr>
            <w:tcW w:w="2313" w:type="dxa"/>
            <w:shd w:val="clear" w:color="auto" w:fill="D7D7D7"/>
            <w:noWrap w:val="0"/>
            <w:vAlign w:val="center"/>
          </w:tcPr>
          <w:p w14:paraId="499A720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分值</w:t>
            </w:r>
          </w:p>
        </w:tc>
        <w:tc>
          <w:tcPr>
            <w:tcW w:w="2216" w:type="dxa"/>
            <w:shd w:val="clear" w:color="auto" w:fill="D7D7D7"/>
            <w:noWrap w:val="0"/>
            <w:vAlign w:val="center"/>
          </w:tcPr>
          <w:p w14:paraId="386C723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得分</w:t>
            </w:r>
          </w:p>
        </w:tc>
        <w:tc>
          <w:tcPr>
            <w:tcW w:w="2071" w:type="dxa"/>
            <w:shd w:val="clear" w:color="auto" w:fill="D7D7D7"/>
            <w:noWrap w:val="0"/>
            <w:vAlign w:val="center"/>
          </w:tcPr>
          <w:p w14:paraId="100F869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黑体" w:eastAsia="黑体" w:cs="黑体"/>
                <w:b/>
                <w:bCs/>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得分率</w:t>
            </w:r>
          </w:p>
        </w:tc>
      </w:tr>
      <w:tr w14:paraId="0A932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noWrap w:val="0"/>
            <w:vAlign w:val="center"/>
          </w:tcPr>
          <w:p w14:paraId="62C0B5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决策</w:t>
            </w:r>
          </w:p>
        </w:tc>
        <w:tc>
          <w:tcPr>
            <w:tcW w:w="2313" w:type="dxa"/>
            <w:noWrap w:val="0"/>
            <w:vAlign w:val="center"/>
          </w:tcPr>
          <w:p w14:paraId="6DA6AF3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12</w:t>
            </w:r>
          </w:p>
        </w:tc>
        <w:tc>
          <w:tcPr>
            <w:tcW w:w="2216" w:type="dxa"/>
            <w:noWrap w:val="0"/>
            <w:vAlign w:val="center"/>
          </w:tcPr>
          <w:p w14:paraId="7712B80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11</w:t>
            </w:r>
          </w:p>
        </w:tc>
        <w:tc>
          <w:tcPr>
            <w:tcW w:w="2071" w:type="dxa"/>
            <w:noWrap w:val="0"/>
            <w:vAlign w:val="center"/>
          </w:tcPr>
          <w:p w14:paraId="18B8E6C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91.67%</w:t>
            </w:r>
          </w:p>
        </w:tc>
      </w:tr>
      <w:tr w14:paraId="7A039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noWrap w:val="0"/>
            <w:vAlign w:val="center"/>
          </w:tcPr>
          <w:p w14:paraId="421780B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过程</w:t>
            </w:r>
          </w:p>
        </w:tc>
        <w:tc>
          <w:tcPr>
            <w:tcW w:w="2313" w:type="dxa"/>
            <w:noWrap w:val="0"/>
            <w:vAlign w:val="center"/>
          </w:tcPr>
          <w:p w14:paraId="740FDE7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15</w:t>
            </w:r>
          </w:p>
        </w:tc>
        <w:tc>
          <w:tcPr>
            <w:tcW w:w="2216" w:type="dxa"/>
            <w:noWrap w:val="0"/>
            <w:vAlign w:val="center"/>
          </w:tcPr>
          <w:p w14:paraId="1761F9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12.3</w:t>
            </w:r>
          </w:p>
        </w:tc>
        <w:tc>
          <w:tcPr>
            <w:tcW w:w="2071" w:type="dxa"/>
            <w:noWrap w:val="0"/>
            <w:vAlign w:val="center"/>
          </w:tcPr>
          <w:p w14:paraId="6FA7825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82.00%</w:t>
            </w:r>
          </w:p>
        </w:tc>
      </w:tr>
      <w:tr w14:paraId="12148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noWrap w:val="0"/>
            <w:vAlign w:val="center"/>
          </w:tcPr>
          <w:p w14:paraId="1D5190B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成本</w:t>
            </w:r>
          </w:p>
        </w:tc>
        <w:tc>
          <w:tcPr>
            <w:tcW w:w="2313" w:type="dxa"/>
            <w:noWrap w:val="0"/>
            <w:vAlign w:val="center"/>
          </w:tcPr>
          <w:p w14:paraId="3EE2F3C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13</w:t>
            </w:r>
          </w:p>
        </w:tc>
        <w:tc>
          <w:tcPr>
            <w:tcW w:w="2216" w:type="dxa"/>
            <w:noWrap w:val="0"/>
            <w:vAlign w:val="center"/>
          </w:tcPr>
          <w:p w14:paraId="1B9D7C9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6</w:t>
            </w:r>
          </w:p>
        </w:tc>
        <w:tc>
          <w:tcPr>
            <w:tcW w:w="2071" w:type="dxa"/>
            <w:noWrap w:val="0"/>
            <w:vAlign w:val="center"/>
          </w:tcPr>
          <w:p w14:paraId="2AC2855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46.15%</w:t>
            </w:r>
          </w:p>
        </w:tc>
      </w:tr>
      <w:tr w14:paraId="03542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noWrap w:val="0"/>
            <w:vAlign w:val="center"/>
          </w:tcPr>
          <w:p w14:paraId="462B555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产出</w:t>
            </w:r>
          </w:p>
        </w:tc>
        <w:tc>
          <w:tcPr>
            <w:tcW w:w="2313" w:type="dxa"/>
            <w:noWrap w:val="0"/>
            <w:vAlign w:val="center"/>
          </w:tcPr>
          <w:p w14:paraId="1551CE2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25</w:t>
            </w:r>
          </w:p>
        </w:tc>
        <w:tc>
          <w:tcPr>
            <w:tcW w:w="2216" w:type="dxa"/>
            <w:noWrap w:val="0"/>
            <w:vAlign w:val="center"/>
          </w:tcPr>
          <w:p w14:paraId="669F9D1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22</w:t>
            </w:r>
          </w:p>
        </w:tc>
        <w:tc>
          <w:tcPr>
            <w:tcW w:w="2071" w:type="dxa"/>
            <w:noWrap w:val="0"/>
            <w:vAlign w:val="center"/>
          </w:tcPr>
          <w:p w14:paraId="47EBAD6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88.00%</w:t>
            </w:r>
          </w:p>
        </w:tc>
      </w:tr>
      <w:tr w14:paraId="3443E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noWrap w:val="0"/>
            <w:vAlign w:val="center"/>
          </w:tcPr>
          <w:p w14:paraId="71C04A7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效益</w:t>
            </w:r>
          </w:p>
        </w:tc>
        <w:tc>
          <w:tcPr>
            <w:tcW w:w="2313" w:type="dxa"/>
            <w:noWrap w:val="0"/>
            <w:vAlign w:val="center"/>
          </w:tcPr>
          <w:p w14:paraId="4BC143D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fldChar w:fldCharType="begin"/>
            </w:r>
            <w:r>
              <w:rPr>
                <w:rFonts w:hint="eastAsia" w:ascii="仿宋_GB2312" w:hAnsi="仿宋_GB2312" w:eastAsia="仿宋_GB2312" w:cs="仿宋_GB2312"/>
                <w:b w:val="0"/>
                <w:bCs w:val="0"/>
                <w:color w:val="000000"/>
                <w:kern w:val="0"/>
                <w:sz w:val="24"/>
                <w:szCs w:val="24"/>
                <w:highlight w:val="none"/>
                <w:lang w:val="en-US" w:eastAsia="zh-CN" w:bidi="ar"/>
              </w:rPr>
              <w:instrText xml:space="preserve"> = sum(E2:E9) \* MERGEFORMAT </w:instrText>
            </w:r>
            <w:r>
              <w:rPr>
                <w:rFonts w:hint="eastAsia" w:ascii="仿宋_GB2312" w:hAnsi="仿宋_GB2312" w:eastAsia="仿宋_GB2312" w:cs="仿宋_GB2312"/>
                <w:b w:val="0"/>
                <w:bCs w:val="0"/>
                <w:color w:val="000000"/>
                <w:kern w:val="0"/>
                <w:sz w:val="24"/>
                <w:szCs w:val="24"/>
                <w:highlight w:val="none"/>
                <w:lang w:val="en-US" w:eastAsia="zh-CN" w:bidi="ar"/>
              </w:rPr>
              <w:fldChar w:fldCharType="separate"/>
            </w:r>
            <w:r>
              <w:rPr>
                <w:rFonts w:hint="eastAsia" w:ascii="仿宋_GB2312" w:hAnsi="仿宋_GB2312" w:eastAsia="仿宋_GB2312" w:cs="仿宋_GB2312"/>
                <w:b w:val="0"/>
                <w:bCs w:val="0"/>
                <w:color w:val="000000"/>
                <w:kern w:val="0"/>
                <w:sz w:val="24"/>
                <w:szCs w:val="24"/>
                <w:highlight w:val="none"/>
                <w:lang w:val="en-US" w:eastAsia="zh-CN" w:bidi="ar"/>
              </w:rPr>
              <w:t>35</w:t>
            </w:r>
            <w:r>
              <w:rPr>
                <w:rFonts w:hint="eastAsia" w:ascii="仿宋_GB2312" w:hAnsi="仿宋_GB2312" w:eastAsia="仿宋_GB2312" w:cs="仿宋_GB2312"/>
                <w:b w:val="0"/>
                <w:bCs w:val="0"/>
                <w:color w:val="000000"/>
                <w:kern w:val="0"/>
                <w:sz w:val="24"/>
                <w:szCs w:val="24"/>
                <w:highlight w:val="none"/>
                <w:lang w:val="en-US" w:eastAsia="zh-CN" w:bidi="ar"/>
              </w:rPr>
              <w:fldChar w:fldCharType="end"/>
            </w:r>
          </w:p>
        </w:tc>
        <w:tc>
          <w:tcPr>
            <w:tcW w:w="2216" w:type="dxa"/>
            <w:noWrap w:val="0"/>
            <w:vAlign w:val="center"/>
          </w:tcPr>
          <w:p w14:paraId="522235E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29.2</w:t>
            </w:r>
          </w:p>
        </w:tc>
        <w:tc>
          <w:tcPr>
            <w:tcW w:w="2071" w:type="dxa"/>
            <w:noWrap w:val="0"/>
            <w:vAlign w:val="center"/>
          </w:tcPr>
          <w:p w14:paraId="38976D2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val="0"/>
                <w:bCs w:val="0"/>
                <w:color w:val="000000"/>
                <w:kern w:val="0"/>
                <w:sz w:val="24"/>
                <w:szCs w:val="24"/>
                <w:highlight w:val="none"/>
                <w:lang w:val="en-US" w:eastAsia="zh-CN" w:bidi="ar"/>
              </w:rPr>
            </w:pPr>
            <w:r>
              <w:rPr>
                <w:rFonts w:hint="eastAsia" w:ascii="仿宋_GB2312" w:hAnsi="仿宋_GB2312" w:eastAsia="仿宋_GB2312" w:cs="仿宋_GB2312"/>
                <w:b w:val="0"/>
                <w:bCs w:val="0"/>
                <w:color w:val="000000"/>
                <w:kern w:val="0"/>
                <w:sz w:val="24"/>
                <w:szCs w:val="24"/>
                <w:highlight w:val="none"/>
                <w:lang w:val="en-US" w:eastAsia="zh-CN" w:bidi="ar"/>
              </w:rPr>
              <w:t>83.43%</w:t>
            </w:r>
          </w:p>
        </w:tc>
      </w:tr>
      <w:tr w14:paraId="7755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2117" w:type="dxa"/>
            <w:noWrap w:val="0"/>
            <w:vAlign w:val="center"/>
          </w:tcPr>
          <w:p w14:paraId="108685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宋体" w:eastAsia="仿宋_GB2312" w:cs="仿宋_GB2312"/>
                <w:b/>
                <w:bCs/>
                <w:color w:val="000000"/>
                <w:kern w:val="0"/>
                <w:sz w:val="24"/>
                <w:szCs w:val="24"/>
                <w:highlight w:val="none"/>
                <w:lang w:val="en-US" w:eastAsia="zh-CN" w:bidi="ar"/>
              </w:rPr>
            </w:pPr>
            <w:r>
              <w:rPr>
                <w:rFonts w:hint="eastAsia" w:ascii="仿宋_GB2312" w:hAnsi="宋体" w:eastAsia="仿宋_GB2312" w:cs="仿宋_GB2312"/>
                <w:b/>
                <w:bCs/>
                <w:color w:val="000000"/>
                <w:kern w:val="0"/>
                <w:sz w:val="24"/>
                <w:szCs w:val="24"/>
                <w:highlight w:val="none"/>
                <w:lang w:val="en-US" w:eastAsia="zh-CN" w:bidi="ar"/>
              </w:rPr>
              <w:t>合计</w:t>
            </w:r>
          </w:p>
        </w:tc>
        <w:tc>
          <w:tcPr>
            <w:tcW w:w="2313" w:type="dxa"/>
            <w:noWrap w:val="0"/>
            <w:vAlign w:val="center"/>
          </w:tcPr>
          <w:p w14:paraId="05E1B54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仿宋_GB2312" w:hAnsi="仿宋_GB2312" w:eastAsia="仿宋_GB2312" w:cs="仿宋_GB2312"/>
                <w:b/>
                <w:bCs/>
                <w:color w:val="000000"/>
                <w:kern w:val="0"/>
                <w:sz w:val="24"/>
                <w:szCs w:val="24"/>
                <w:highlight w:val="none"/>
                <w:lang w:val="en-US" w:eastAsia="zh-CN" w:bidi="ar"/>
              </w:rPr>
            </w:pPr>
            <w:r>
              <w:rPr>
                <w:rFonts w:hint="eastAsia" w:ascii="仿宋_GB2312" w:hAnsi="仿宋_GB2312" w:eastAsia="仿宋_GB2312" w:cs="仿宋_GB2312"/>
                <w:b/>
                <w:bCs/>
                <w:color w:val="000000"/>
                <w:kern w:val="0"/>
                <w:sz w:val="24"/>
                <w:szCs w:val="24"/>
                <w:highlight w:val="none"/>
                <w:lang w:val="en-US" w:eastAsia="zh-CN" w:bidi="ar"/>
              </w:rPr>
              <w:fldChar w:fldCharType="begin"/>
            </w:r>
            <w:r>
              <w:rPr>
                <w:rFonts w:hint="eastAsia" w:ascii="仿宋_GB2312" w:hAnsi="仿宋_GB2312" w:eastAsia="仿宋_GB2312" w:cs="仿宋_GB2312"/>
                <w:b/>
                <w:bCs/>
                <w:color w:val="000000"/>
                <w:kern w:val="0"/>
                <w:sz w:val="24"/>
                <w:szCs w:val="24"/>
                <w:highlight w:val="none"/>
                <w:lang w:val="en-US" w:eastAsia="zh-CN" w:bidi="ar"/>
              </w:rPr>
              <w:instrText xml:space="preserve"> = sum(B2:B6) \* MERGEFORMAT </w:instrText>
            </w:r>
            <w:r>
              <w:rPr>
                <w:rFonts w:hint="eastAsia" w:ascii="仿宋_GB2312" w:hAnsi="仿宋_GB2312" w:eastAsia="仿宋_GB2312" w:cs="仿宋_GB2312"/>
                <w:b/>
                <w:bCs/>
                <w:color w:val="000000"/>
                <w:kern w:val="0"/>
                <w:sz w:val="24"/>
                <w:szCs w:val="24"/>
                <w:highlight w:val="none"/>
                <w:lang w:val="en-US" w:eastAsia="zh-CN" w:bidi="ar"/>
              </w:rPr>
              <w:fldChar w:fldCharType="separate"/>
            </w:r>
            <w:r>
              <w:rPr>
                <w:rFonts w:hint="eastAsia" w:ascii="仿宋_GB2312" w:hAnsi="仿宋_GB2312" w:eastAsia="仿宋_GB2312" w:cs="仿宋_GB2312"/>
                <w:b/>
                <w:bCs/>
                <w:color w:val="000000"/>
                <w:kern w:val="0"/>
                <w:sz w:val="24"/>
                <w:szCs w:val="24"/>
                <w:highlight w:val="none"/>
                <w:lang w:val="en-US" w:eastAsia="zh-CN" w:bidi="ar"/>
              </w:rPr>
              <w:t>100</w:t>
            </w:r>
            <w:r>
              <w:rPr>
                <w:rFonts w:hint="eastAsia" w:ascii="仿宋_GB2312" w:hAnsi="仿宋_GB2312" w:eastAsia="仿宋_GB2312" w:cs="仿宋_GB2312"/>
                <w:b/>
                <w:bCs/>
                <w:color w:val="000000"/>
                <w:kern w:val="0"/>
                <w:sz w:val="24"/>
                <w:szCs w:val="24"/>
                <w:highlight w:val="none"/>
                <w:lang w:val="en-US" w:eastAsia="zh-CN" w:bidi="ar"/>
              </w:rPr>
              <w:fldChar w:fldCharType="end"/>
            </w:r>
          </w:p>
        </w:tc>
        <w:tc>
          <w:tcPr>
            <w:tcW w:w="2216" w:type="dxa"/>
            <w:noWrap w:val="0"/>
            <w:vAlign w:val="center"/>
          </w:tcPr>
          <w:p w14:paraId="638F2AC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000000"/>
                <w:kern w:val="0"/>
                <w:sz w:val="24"/>
                <w:szCs w:val="24"/>
                <w:highlight w:val="none"/>
                <w:lang w:val="en-US" w:eastAsia="zh-CN" w:bidi="ar"/>
              </w:rPr>
            </w:pPr>
            <w:r>
              <w:rPr>
                <w:rFonts w:hint="eastAsia" w:ascii="仿宋_GB2312" w:hAnsi="仿宋_GB2312" w:eastAsia="仿宋_GB2312" w:cs="仿宋_GB2312"/>
                <w:b/>
                <w:bCs/>
                <w:color w:val="000000"/>
                <w:kern w:val="0"/>
                <w:sz w:val="24"/>
                <w:szCs w:val="24"/>
                <w:highlight w:val="none"/>
                <w:lang w:val="en-US" w:eastAsia="zh-CN" w:bidi="ar"/>
              </w:rPr>
              <w:t>80.5</w:t>
            </w:r>
          </w:p>
        </w:tc>
        <w:tc>
          <w:tcPr>
            <w:tcW w:w="2071" w:type="dxa"/>
            <w:noWrap w:val="0"/>
            <w:vAlign w:val="center"/>
          </w:tcPr>
          <w:p w14:paraId="1A2E44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仿宋_GB2312" w:hAnsi="仿宋_GB2312" w:eastAsia="仿宋_GB2312" w:cs="仿宋_GB2312"/>
                <w:b/>
                <w:bCs/>
                <w:color w:val="000000"/>
                <w:kern w:val="0"/>
                <w:sz w:val="24"/>
                <w:szCs w:val="24"/>
                <w:highlight w:val="none"/>
                <w:lang w:val="en-US" w:eastAsia="zh-CN" w:bidi="ar"/>
              </w:rPr>
            </w:pPr>
            <w:r>
              <w:rPr>
                <w:rFonts w:hint="eastAsia" w:ascii="仿宋_GB2312" w:hAnsi="仿宋_GB2312" w:eastAsia="仿宋_GB2312" w:cs="仿宋_GB2312"/>
                <w:b/>
                <w:bCs/>
                <w:color w:val="000000"/>
                <w:kern w:val="0"/>
                <w:sz w:val="24"/>
                <w:szCs w:val="24"/>
                <w:highlight w:val="none"/>
                <w:lang w:val="en-US" w:eastAsia="zh-CN" w:bidi="ar"/>
              </w:rPr>
              <w:t>80.50%</w:t>
            </w:r>
          </w:p>
        </w:tc>
      </w:tr>
      <w:tr w14:paraId="77DAF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8717" w:type="dxa"/>
            <w:gridSpan w:val="4"/>
            <w:noWrap w:val="0"/>
            <w:vAlign w:val="center"/>
          </w:tcPr>
          <w:p w14:paraId="31665D3A">
            <w:pPr>
              <w:keepNext w:val="0"/>
              <w:keepLines w:val="0"/>
              <w:pageBreakBefore w:val="0"/>
              <w:widowControl/>
              <w:suppressLineNumbers w:val="0"/>
              <w:kinsoku/>
              <w:wordWrap/>
              <w:overflowPunct/>
              <w:topLinePunct w:val="0"/>
              <w:autoSpaceDE/>
              <w:autoSpaceDN/>
              <w:bidi w:val="0"/>
              <w:adjustRightInd/>
              <w:snapToGrid/>
              <w:spacing w:line="440" w:lineRule="exact"/>
              <w:jc w:val="center"/>
              <w:textAlignment w:val="auto"/>
              <w:rPr>
                <w:rFonts w:hint="default" w:ascii="黑体" w:hAnsi="黑体" w:eastAsia="黑体" w:cs="黑体"/>
                <w:color w:val="auto"/>
                <w:sz w:val="24"/>
                <w:szCs w:val="24"/>
                <w:highlight w:val="none"/>
                <w:vertAlign w:val="baseline"/>
                <w:lang w:val="en-US" w:eastAsia="zh-CN"/>
              </w:rPr>
            </w:pPr>
            <w:r>
              <w:rPr>
                <w:rFonts w:hint="eastAsia" w:ascii="仿宋_GB2312" w:hAnsi="宋体" w:eastAsia="仿宋_GB2312" w:cs="仿宋_GB2312"/>
                <w:b/>
                <w:bCs/>
                <w:color w:val="000000"/>
                <w:kern w:val="0"/>
                <w:sz w:val="24"/>
                <w:szCs w:val="24"/>
                <w:highlight w:val="none"/>
                <w:lang w:val="en-US" w:eastAsia="zh-CN" w:bidi="ar"/>
              </w:rPr>
              <w:t>绩效评价得分：80.5    综合评价结果等级：良好</w:t>
            </w:r>
          </w:p>
        </w:tc>
      </w:tr>
    </w:tbl>
    <w:p w14:paraId="431E54EE">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left="0" w:leftChars="0" w:firstLine="646" w:firstLineChars="200"/>
        <w:textAlignment w:val="auto"/>
        <w:rPr>
          <w:rFonts w:hint="eastAsia" w:ascii="仿宋" w:hAnsi="仿宋" w:eastAsia="仿宋" w:cs="仿宋"/>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四、绩效评价指标分析</w:t>
      </w:r>
    </w:p>
    <w:p w14:paraId="29C679F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（一）项目决策情况</w:t>
      </w:r>
    </w:p>
    <w:p w14:paraId="0579CDB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项目决策通过</w:t>
      </w:r>
      <w:r>
        <w:rPr>
          <w:rFonts w:hint="eastAsia" w:ascii="仿宋_GB2312" w:hAnsi="仿宋_GB2312" w:eastAsia="仿宋_GB2312" w:cs="仿宋_GB2312"/>
          <w:color w:val="auto"/>
          <w:sz w:val="32"/>
          <w:szCs w:val="32"/>
          <w:highlight w:val="none"/>
        </w:rPr>
        <w:t>项目立项、绩效目标、</w:t>
      </w:r>
      <w:r>
        <w:rPr>
          <w:rFonts w:hint="eastAsia" w:ascii="仿宋_GB2312" w:hAnsi="仿宋_GB2312" w:eastAsia="仿宋_GB2312" w:cs="仿宋_GB2312"/>
          <w:color w:val="auto"/>
          <w:sz w:val="32"/>
          <w:szCs w:val="32"/>
          <w:highlight w:val="none"/>
          <w:lang w:val="en-US" w:eastAsia="zh-CN"/>
        </w:rPr>
        <w:t>资金投入</w:t>
      </w:r>
      <w:r>
        <w:rPr>
          <w:rFonts w:hint="eastAsia" w:ascii="仿宋_GB2312" w:hAnsi="仿宋_GB2312" w:eastAsia="仿宋_GB2312" w:cs="仿宋_GB2312"/>
          <w:color w:val="auto"/>
          <w:sz w:val="32"/>
          <w:szCs w:val="32"/>
          <w:highlight w:val="none"/>
        </w:rPr>
        <w:t>三个方面进行评价。项目</w:t>
      </w:r>
      <w:r>
        <w:rPr>
          <w:rFonts w:hint="eastAsia" w:ascii="仿宋_GB2312" w:hAnsi="仿宋_GB2312" w:eastAsia="仿宋_GB2312" w:cs="仿宋_GB2312"/>
          <w:color w:val="auto"/>
          <w:sz w:val="32"/>
          <w:szCs w:val="32"/>
          <w:highlight w:val="none"/>
          <w:lang w:val="en-US" w:eastAsia="zh-CN"/>
        </w:rPr>
        <w:t>决策</w:t>
      </w:r>
      <w:r>
        <w:rPr>
          <w:rFonts w:hint="eastAsia" w:ascii="仿宋_GB2312" w:hAnsi="仿宋_GB2312" w:eastAsia="仿宋_GB2312" w:cs="仿宋_GB2312"/>
          <w:color w:val="auto"/>
          <w:sz w:val="32"/>
          <w:szCs w:val="32"/>
          <w:highlight w:val="none"/>
        </w:rPr>
        <w:t>满分</w:t>
      </w: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分，得分</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分。具体得分详见表</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lang w:eastAsia="zh-CN"/>
        </w:rPr>
        <w:t>。</w:t>
      </w:r>
    </w:p>
    <w:p w14:paraId="11A5BE5C">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Cs/>
          <w:color w:val="auto"/>
          <w:sz w:val="32"/>
          <w:szCs w:val="32"/>
          <w:highlight w:val="none"/>
        </w:rPr>
      </w:pPr>
      <w:r>
        <w:rPr>
          <w:rFonts w:hint="eastAsia" w:ascii="仿宋_GB2312" w:hAnsi="仿宋_GB2312" w:eastAsia="仿宋_GB2312" w:cs="仿宋_GB2312"/>
          <w:b/>
          <w:bCs/>
          <w:kern w:val="2"/>
          <w:sz w:val="28"/>
          <w:szCs w:val="28"/>
          <w:highlight w:val="none"/>
          <w:lang w:val="en-US" w:eastAsia="zh-CN" w:bidi="ar-SA"/>
        </w:rPr>
        <w:t>表7   项目决策绩效指标分析表</w:t>
      </w:r>
    </w:p>
    <w:tbl>
      <w:tblPr>
        <w:tblStyle w:val="15"/>
        <w:tblW w:w="8759"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804"/>
        <w:gridCol w:w="1607"/>
        <w:gridCol w:w="2829"/>
        <w:gridCol w:w="1082"/>
        <w:gridCol w:w="1082"/>
      </w:tblGrid>
      <w:tr w14:paraId="777BD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355" w:type="dxa"/>
            <w:tcBorders>
              <w:left w:val="nil"/>
              <w:tl2br w:val="nil"/>
              <w:tr2bl w:val="nil"/>
            </w:tcBorders>
            <w:shd w:val="clear" w:color="auto" w:fill="D7D7D7"/>
            <w:noWrap w:val="0"/>
            <w:vAlign w:val="center"/>
          </w:tcPr>
          <w:p w14:paraId="7EEC557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4" w:type="dxa"/>
            <w:tcBorders>
              <w:tl2br w:val="nil"/>
              <w:tr2bl w:val="nil"/>
            </w:tcBorders>
            <w:shd w:val="clear" w:color="auto" w:fill="D7D7D7"/>
            <w:noWrap w:val="0"/>
            <w:vAlign w:val="center"/>
          </w:tcPr>
          <w:p w14:paraId="6D731CC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607" w:type="dxa"/>
            <w:tcBorders>
              <w:tl2br w:val="nil"/>
              <w:tr2bl w:val="nil"/>
            </w:tcBorders>
            <w:shd w:val="clear" w:color="auto" w:fill="D7D7D7"/>
            <w:noWrap w:val="0"/>
            <w:vAlign w:val="center"/>
          </w:tcPr>
          <w:p w14:paraId="100E0677">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2829" w:type="dxa"/>
            <w:tcBorders>
              <w:tl2br w:val="nil"/>
              <w:tr2bl w:val="nil"/>
            </w:tcBorders>
            <w:shd w:val="clear" w:color="auto" w:fill="D7D7D7"/>
            <w:noWrap w:val="0"/>
            <w:vAlign w:val="center"/>
          </w:tcPr>
          <w:p w14:paraId="2B4257A0">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1082" w:type="dxa"/>
            <w:tcBorders>
              <w:tl2br w:val="nil"/>
              <w:tr2bl w:val="nil"/>
            </w:tcBorders>
            <w:shd w:val="clear" w:color="auto" w:fill="D7D7D7"/>
            <w:noWrap w:val="0"/>
            <w:vAlign w:val="center"/>
          </w:tcPr>
          <w:p w14:paraId="5011422B">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1082" w:type="dxa"/>
            <w:tcBorders>
              <w:right w:val="nil"/>
              <w:tl2br w:val="nil"/>
              <w:tr2bl w:val="nil"/>
            </w:tcBorders>
            <w:shd w:val="clear" w:color="auto" w:fill="D7D7D7"/>
            <w:noWrap w:val="0"/>
            <w:vAlign w:val="center"/>
          </w:tcPr>
          <w:p w14:paraId="1A37B51B">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0B117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restart"/>
            <w:tcBorders>
              <w:left w:val="nil"/>
              <w:tl2br w:val="nil"/>
              <w:tr2bl w:val="nil"/>
            </w:tcBorders>
            <w:shd w:val="clear" w:color="auto" w:fill="auto"/>
            <w:noWrap w:val="0"/>
            <w:vAlign w:val="center"/>
          </w:tcPr>
          <w:p w14:paraId="6FE9BAF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决策</w:t>
            </w:r>
          </w:p>
        </w:tc>
        <w:tc>
          <w:tcPr>
            <w:tcW w:w="804" w:type="dxa"/>
            <w:vMerge w:val="restart"/>
            <w:tcBorders>
              <w:tl2br w:val="nil"/>
              <w:tr2bl w:val="nil"/>
            </w:tcBorders>
            <w:shd w:val="clear" w:color="auto" w:fill="auto"/>
            <w:noWrap w:val="0"/>
            <w:vAlign w:val="center"/>
          </w:tcPr>
          <w:p w14:paraId="6B46203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12</w:t>
            </w:r>
          </w:p>
        </w:tc>
        <w:tc>
          <w:tcPr>
            <w:tcW w:w="1607" w:type="dxa"/>
            <w:vMerge w:val="restart"/>
            <w:tcBorders>
              <w:tl2br w:val="nil"/>
              <w:tr2bl w:val="nil"/>
            </w:tcBorders>
            <w:shd w:val="clear" w:color="auto" w:fill="auto"/>
            <w:noWrap w:val="0"/>
            <w:vAlign w:val="center"/>
          </w:tcPr>
          <w:p w14:paraId="66838F2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项目立项</w:t>
            </w:r>
          </w:p>
        </w:tc>
        <w:tc>
          <w:tcPr>
            <w:tcW w:w="2829" w:type="dxa"/>
            <w:tcBorders>
              <w:tl2br w:val="nil"/>
              <w:tr2bl w:val="nil"/>
            </w:tcBorders>
            <w:shd w:val="clear" w:color="auto" w:fill="auto"/>
            <w:noWrap w:val="0"/>
            <w:vAlign w:val="center"/>
          </w:tcPr>
          <w:p w14:paraId="5A1E109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立项依据充分性</w:t>
            </w:r>
          </w:p>
        </w:tc>
        <w:tc>
          <w:tcPr>
            <w:tcW w:w="1082" w:type="dxa"/>
            <w:tcBorders>
              <w:tl2br w:val="nil"/>
              <w:tr2bl w:val="nil"/>
            </w:tcBorders>
            <w:shd w:val="clear" w:color="auto" w:fill="auto"/>
            <w:noWrap w:val="0"/>
            <w:vAlign w:val="center"/>
          </w:tcPr>
          <w:p w14:paraId="676CA18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275841B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r>
      <w:tr w14:paraId="0D481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77219DF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0B8770D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6007AC6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4182AF3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立项程序规范性</w:t>
            </w:r>
          </w:p>
        </w:tc>
        <w:tc>
          <w:tcPr>
            <w:tcW w:w="1082" w:type="dxa"/>
            <w:tcBorders>
              <w:tl2br w:val="nil"/>
              <w:tr2bl w:val="nil"/>
            </w:tcBorders>
            <w:shd w:val="clear" w:color="auto" w:fill="auto"/>
            <w:noWrap w:val="0"/>
            <w:vAlign w:val="center"/>
          </w:tcPr>
          <w:p w14:paraId="32A981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2C2C2538">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2DA16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3607153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5CA59ED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restart"/>
            <w:tcBorders>
              <w:tl2br w:val="nil"/>
              <w:tr2bl w:val="nil"/>
            </w:tcBorders>
            <w:shd w:val="clear" w:color="auto" w:fill="auto"/>
            <w:noWrap w:val="0"/>
            <w:vAlign w:val="center"/>
          </w:tcPr>
          <w:p w14:paraId="1959B01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绩效目标</w:t>
            </w:r>
          </w:p>
        </w:tc>
        <w:tc>
          <w:tcPr>
            <w:tcW w:w="2829" w:type="dxa"/>
            <w:tcBorders>
              <w:tl2br w:val="nil"/>
              <w:tr2bl w:val="nil"/>
            </w:tcBorders>
            <w:shd w:val="clear" w:color="auto" w:fill="auto"/>
            <w:noWrap w:val="0"/>
            <w:vAlign w:val="center"/>
          </w:tcPr>
          <w:p w14:paraId="4685EA5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绩效目标合理性</w:t>
            </w:r>
          </w:p>
        </w:tc>
        <w:tc>
          <w:tcPr>
            <w:tcW w:w="1082" w:type="dxa"/>
            <w:tcBorders>
              <w:tl2br w:val="nil"/>
              <w:tr2bl w:val="nil"/>
            </w:tcBorders>
            <w:shd w:val="clear" w:color="auto" w:fill="auto"/>
            <w:noWrap w:val="0"/>
            <w:vAlign w:val="center"/>
          </w:tcPr>
          <w:p w14:paraId="43ABFB0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0258681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52BC4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4F0D8E6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29FE8C6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03F114D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1A92740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绩效指标明确性</w:t>
            </w:r>
          </w:p>
        </w:tc>
        <w:tc>
          <w:tcPr>
            <w:tcW w:w="1082" w:type="dxa"/>
            <w:tcBorders>
              <w:tl2br w:val="nil"/>
              <w:tr2bl w:val="nil"/>
            </w:tcBorders>
            <w:shd w:val="clear" w:color="auto" w:fill="auto"/>
            <w:noWrap w:val="0"/>
            <w:vAlign w:val="center"/>
          </w:tcPr>
          <w:p w14:paraId="6FE370E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005389A4">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59C96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184ECA6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326C4B6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restart"/>
            <w:tcBorders>
              <w:tl2br w:val="nil"/>
              <w:tr2bl w:val="nil"/>
            </w:tcBorders>
            <w:shd w:val="clear" w:color="auto" w:fill="auto"/>
            <w:noWrap w:val="0"/>
            <w:vAlign w:val="center"/>
          </w:tcPr>
          <w:p w14:paraId="3C5F62D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资金投入</w:t>
            </w:r>
          </w:p>
        </w:tc>
        <w:tc>
          <w:tcPr>
            <w:tcW w:w="2829" w:type="dxa"/>
            <w:tcBorders>
              <w:tl2br w:val="nil"/>
              <w:tr2bl w:val="nil"/>
            </w:tcBorders>
            <w:shd w:val="clear" w:color="auto" w:fill="auto"/>
            <w:noWrap w:val="0"/>
            <w:vAlign w:val="center"/>
          </w:tcPr>
          <w:p w14:paraId="423F544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预算编制科学性</w:t>
            </w:r>
          </w:p>
        </w:tc>
        <w:tc>
          <w:tcPr>
            <w:tcW w:w="1082" w:type="dxa"/>
            <w:tcBorders>
              <w:tl2br w:val="nil"/>
              <w:tr2bl w:val="nil"/>
            </w:tcBorders>
            <w:shd w:val="clear" w:color="auto" w:fill="auto"/>
            <w:noWrap w:val="0"/>
            <w:vAlign w:val="center"/>
          </w:tcPr>
          <w:p w14:paraId="33521E2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03390B0B">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5075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vMerge w:val="continue"/>
            <w:tcBorders>
              <w:left w:val="nil"/>
              <w:tl2br w:val="nil"/>
              <w:tr2bl w:val="nil"/>
            </w:tcBorders>
            <w:shd w:val="clear" w:color="auto" w:fill="auto"/>
            <w:noWrap w:val="0"/>
            <w:vAlign w:val="center"/>
          </w:tcPr>
          <w:p w14:paraId="304870C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04" w:type="dxa"/>
            <w:vMerge w:val="continue"/>
            <w:tcBorders>
              <w:tl2br w:val="nil"/>
              <w:tr2bl w:val="nil"/>
            </w:tcBorders>
            <w:shd w:val="clear" w:color="auto" w:fill="auto"/>
            <w:noWrap w:val="0"/>
            <w:vAlign w:val="center"/>
          </w:tcPr>
          <w:p w14:paraId="3ECA32F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607" w:type="dxa"/>
            <w:vMerge w:val="continue"/>
            <w:tcBorders>
              <w:tl2br w:val="nil"/>
              <w:tr2bl w:val="nil"/>
            </w:tcBorders>
            <w:shd w:val="clear" w:color="auto" w:fill="auto"/>
            <w:noWrap w:val="0"/>
            <w:vAlign w:val="center"/>
          </w:tcPr>
          <w:p w14:paraId="5EB9545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829" w:type="dxa"/>
            <w:tcBorders>
              <w:tl2br w:val="nil"/>
              <w:tr2bl w:val="nil"/>
            </w:tcBorders>
            <w:shd w:val="clear" w:color="auto" w:fill="auto"/>
            <w:noWrap w:val="0"/>
            <w:vAlign w:val="center"/>
          </w:tcPr>
          <w:p w14:paraId="1698709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资金分配合理性</w:t>
            </w:r>
          </w:p>
        </w:tc>
        <w:tc>
          <w:tcPr>
            <w:tcW w:w="1082" w:type="dxa"/>
            <w:tcBorders>
              <w:tl2br w:val="nil"/>
              <w:tr2bl w:val="nil"/>
            </w:tcBorders>
            <w:shd w:val="clear" w:color="auto" w:fill="auto"/>
            <w:noWrap w:val="0"/>
            <w:vAlign w:val="center"/>
          </w:tcPr>
          <w:p w14:paraId="0343EAA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w:t>
            </w:r>
          </w:p>
        </w:tc>
        <w:tc>
          <w:tcPr>
            <w:tcW w:w="1082" w:type="dxa"/>
            <w:tcBorders>
              <w:right w:val="nil"/>
              <w:tl2br w:val="nil"/>
              <w:tr2bl w:val="nil"/>
            </w:tcBorders>
            <w:shd w:val="clear" w:color="auto" w:fill="auto"/>
            <w:noWrap w:val="0"/>
            <w:vAlign w:val="center"/>
          </w:tcPr>
          <w:p w14:paraId="32910A28">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1.8</w:t>
            </w:r>
          </w:p>
        </w:tc>
      </w:tr>
      <w:tr w14:paraId="00EA8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355" w:type="dxa"/>
            <w:tcBorders>
              <w:left w:val="nil"/>
              <w:tl2br w:val="nil"/>
              <w:tr2bl w:val="nil"/>
            </w:tcBorders>
            <w:shd w:val="clear" w:color="auto" w:fill="auto"/>
            <w:noWrap w:val="0"/>
            <w:vAlign w:val="center"/>
          </w:tcPr>
          <w:p w14:paraId="3FC96912">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合计</w:t>
            </w:r>
          </w:p>
        </w:tc>
        <w:tc>
          <w:tcPr>
            <w:tcW w:w="804" w:type="dxa"/>
            <w:tcBorders>
              <w:tl2br w:val="nil"/>
              <w:tr2bl w:val="nil"/>
            </w:tcBorders>
            <w:shd w:val="clear" w:color="auto" w:fill="auto"/>
            <w:noWrap w:val="0"/>
            <w:vAlign w:val="center"/>
          </w:tcPr>
          <w:p w14:paraId="4F57865D">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color w:val="auto"/>
                <w:sz w:val="24"/>
                <w:szCs w:val="24"/>
                <w:highlight w:val="none"/>
                <w:lang w:val="en-US" w:eastAsia="zh-CN"/>
              </w:rPr>
            </w:pPr>
            <w:r>
              <w:rPr>
                <w:rFonts w:hint="eastAsia" w:ascii="仿宋_GB2312" w:hAnsi="仿宋_GB2312" w:eastAsia="仿宋_GB2312" w:cs="仿宋_GB2312"/>
                <w:b/>
                <w:color w:val="auto"/>
                <w:sz w:val="24"/>
                <w:szCs w:val="24"/>
                <w:highlight w:val="none"/>
                <w:lang w:val="en-US" w:eastAsia="zh-CN"/>
              </w:rPr>
              <w:t>12</w:t>
            </w:r>
          </w:p>
        </w:tc>
        <w:tc>
          <w:tcPr>
            <w:tcW w:w="1607" w:type="dxa"/>
            <w:tcBorders>
              <w:tl2br w:val="nil"/>
              <w:tr2bl w:val="nil"/>
            </w:tcBorders>
            <w:shd w:val="clear" w:color="auto" w:fill="auto"/>
            <w:noWrap w:val="0"/>
            <w:vAlign w:val="center"/>
          </w:tcPr>
          <w:p w14:paraId="264EEFAD">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lang w:eastAsia="zh-CN"/>
              </w:rPr>
            </w:pPr>
            <w:r>
              <w:rPr>
                <w:rFonts w:hint="eastAsia" w:ascii="仿宋_GB2312" w:hAnsi="仿宋_GB2312" w:eastAsia="仿宋_GB2312" w:cs="仿宋_GB2312"/>
                <w:b/>
                <w:bCs/>
                <w:color w:val="auto"/>
                <w:sz w:val="24"/>
                <w:szCs w:val="24"/>
                <w:highlight w:val="none"/>
                <w:lang w:eastAsia="zh-CN"/>
              </w:rPr>
              <w:t>—</w:t>
            </w:r>
          </w:p>
        </w:tc>
        <w:tc>
          <w:tcPr>
            <w:tcW w:w="2829" w:type="dxa"/>
            <w:tcBorders>
              <w:tl2br w:val="nil"/>
              <w:tr2bl w:val="nil"/>
            </w:tcBorders>
            <w:shd w:val="clear" w:color="auto" w:fill="auto"/>
            <w:noWrap w:val="0"/>
            <w:vAlign w:val="center"/>
          </w:tcPr>
          <w:p w14:paraId="0DF9DD85">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lang w:eastAsia="zh-CN"/>
              </w:rPr>
              <w:t>—</w:t>
            </w:r>
          </w:p>
        </w:tc>
        <w:tc>
          <w:tcPr>
            <w:tcW w:w="1082" w:type="dxa"/>
            <w:tcBorders>
              <w:tl2br w:val="nil"/>
              <w:tr2bl w:val="nil"/>
            </w:tcBorders>
            <w:shd w:val="clear" w:color="auto" w:fill="auto"/>
            <w:noWrap w:val="0"/>
            <w:vAlign w:val="center"/>
          </w:tcPr>
          <w:p w14:paraId="138E0266">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fldChar w:fldCharType="begin"/>
            </w:r>
            <w:r>
              <w:rPr>
                <w:rFonts w:hint="eastAsia" w:ascii="仿宋_GB2312" w:hAnsi="仿宋_GB2312" w:eastAsia="仿宋_GB2312" w:cs="仿宋_GB2312"/>
                <w:b/>
                <w:bCs/>
                <w:color w:val="auto"/>
                <w:sz w:val="24"/>
                <w:szCs w:val="24"/>
                <w:highlight w:val="none"/>
              </w:rPr>
              <w:instrText xml:space="preserve"> = sum(E2:E7) \* MERGEFORMAT </w:instrText>
            </w:r>
            <w:r>
              <w:rPr>
                <w:rFonts w:hint="eastAsia" w:ascii="仿宋_GB2312" w:hAnsi="仿宋_GB2312" w:eastAsia="仿宋_GB2312" w:cs="仿宋_GB2312"/>
                <w:b/>
                <w:bCs/>
                <w:color w:val="auto"/>
                <w:sz w:val="24"/>
                <w:szCs w:val="24"/>
                <w:highlight w:val="none"/>
              </w:rPr>
              <w:fldChar w:fldCharType="separate"/>
            </w:r>
            <w:r>
              <w:rPr>
                <w:rFonts w:hint="eastAsia" w:ascii="仿宋_GB2312" w:hAnsi="仿宋_GB2312" w:eastAsia="仿宋_GB2312" w:cs="仿宋_GB2312"/>
                <w:b/>
                <w:bCs/>
                <w:color w:val="auto"/>
                <w:sz w:val="24"/>
                <w:szCs w:val="24"/>
                <w:highlight w:val="none"/>
              </w:rPr>
              <w:t>12</w:t>
            </w:r>
            <w:r>
              <w:rPr>
                <w:rFonts w:hint="eastAsia" w:ascii="仿宋_GB2312" w:hAnsi="仿宋_GB2312" w:eastAsia="仿宋_GB2312" w:cs="仿宋_GB2312"/>
                <w:b/>
                <w:bCs/>
                <w:color w:val="auto"/>
                <w:sz w:val="24"/>
                <w:szCs w:val="24"/>
                <w:highlight w:val="none"/>
              </w:rPr>
              <w:fldChar w:fldCharType="end"/>
            </w:r>
          </w:p>
        </w:tc>
        <w:tc>
          <w:tcPr>
            <w:tcW w:w="1082" w:type="dxa"/>
            <w:tcBorders>
              <w:right w:val="nil"/>
              <w:tl2br w:val="nil"/>
              <w:tr2bl w:val="nil"/>
            </w:tcBorders>
            <w:shd w:val="clear" w:color="auto" w:fill="auto"/>
            <w:noWrap w:val="0"/>
            <w:vAlign w:val="center"/>
          </w:tcPr>
          <w:p w14:paraId="7D101D3F">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11</w:t>
            </w:r>
          </w:p>
        </w:tc>
      </w:tr>
    </w:tbl>
    <w:p w14:paraId="233B8ECB">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1.项目立项方面</w:t>
      </w:r>
    </w:p>
    <w:p w14:paraId="527C2FB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（1）立项依据充分性方面。项目的立项均符合国家相关法律、法规和政策规定，符合国家财政专项资金支持方向，符合扶风县</w:t>
      </w:r>
      <w:r>
        <w:rPr>
          <w:rFonts w:hint="eastAsia" w:ascii="仿宋_GB2312" w:hAnsi="仿宋_GB2312" w:eastAsia="仿宋_GB2312" w:cs="仿宋_GB2312"/>
          <w:color w:val="auto"/>
          <w:kern w:val="2"/>
          <w:sz w:val="32"/>
          <w:szCs w:val="32"/>
          <w:highlight w:val="none"/>
          <w:lang w:val="en-US" w:eastAsia="zh-CN" w:bidi="ar-SA"/>
        </w:rPr>
        <w:t>排险除患基础设施</w:t>
      </w:r>
      <w:r>
        <w:rPr>
          <w:rFonts w:hint="eastAsia" w:ascii="仿宋_GB2312" w:hAnsi="仿宋_GB2312" w:eastAsia="仿宋_GB2312" w:cs="仿宋_GB2312"/>
          <w:color w:val="auto"/>
          <w:sz w:val="32"/>
          <w:szCs w:val="32"/>
          <w:highlight w:val="none"/>
          <w:lang w:val="en-US" w:eastAsia="zh-CN"/>
        </w:rPr>
        <w:t>建设及经济社会发展的需要。</w:t>
      </w:r>
    </w:p>
    <w:p w14:paraId="479CE86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（2）立项程序规范性方面。该项目为补助经费，基本能按照规定的申请程序立项，程序规范，但项目实施方案不详实。</w:t>
      </w:r>
    </w:p>
    <w:p w14:paraId="6137E41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2.绩效目标方面</w:t>
      </w:r>
    </w:p>
    <w:p w14:paraId="4A16C11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（1）绩效目标合理性方面。项目有预期绩效目标，绩效目标设置较为合理</w:t>
      </w:r>
      <w:r>
        <w:rPr>
          <w:rFonts w:hint="eastAsia" w:ascii="仿宋_GB2312" w:hAnsi="仿宋_GB2312" w:eastAsia="仿宋_GB2312" w:cs="仿宋_GB2312"/>
          <w:color w:val="auto"/>
          <w:kern w:val="2"/>
          <w:sz w:val="32"/>
          <w:szCs w:val="32"/>
          <w:highlight w:val="none"/>
          <w:lang w:val="en-US" w:eastAsia="zh-CN" w:bidi="ar-SA"/>
        </w:rPr>
        <w:t>。</w:t>
      </w:r>
    </w:p>
    <w:p w14:paraId="386F774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（2）绩效指标明确性方面。项目有预期绩效目标，绩效目标设置</w:t>
      </w:r>
      <w:r>
        <w:rPr>
          <w:rFonts w:hint="eastAsia" w:ascii="仿宋_GB2312" w:hAnsi="仿宋_GB2312" w:eastAsia="仿宋_GB2312" w:cs="仿宋_GB2312"/>
          <w:color w:val="auto"/>
          <w:kern w:val="2"/>
          <w:sz w:val="32"/>
          <w:szCs w:val="32"/>
          <w:highlight w:val="none"/>
          <w:lang w:val="en-US" w:eastAsia="zh-CN" w:bidi="ar-SA"/>
        </w:rPr>
        <w:t>较为明确，但指标值设置不恰当，成本、产出、效益、满意度指标值全部设置为≥90%。</w:t>
      </w:r>
    </w:p>
    <w:p w14:paraId="061F97E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3.资金投入方面</w:t>
      </w:r>
    </w:p>
    <w:p w14:paraId="2F88AA5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（1）预算编制科学性方面。项目预算资金（380,000.00元）与项目实际执行资金（</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 sum(D2:D7) \* MERGEFORMAT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467,197</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.00元）差异率约为22.95%，预算不够精准。</w:t>
      </w:r>
    </w:p>
    <w:p w14:paraId="4AAFA16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（2）资金分配合理性方面。财政2024年度安排的预算资金与项目实际需求资金有偏差。</w:t>
      </w:r>
    </w:p>
    <w:p w14:paraId="29D2C6E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评价组认为，项目决策从整体上看，立项规范、决策依据较为充分，程序合规，符合相关政策。但项目前期相关工作不到位，预算不够精准。</w:t>
      </w:r>
    </w:p>
    <w:p w14:paraId="520D110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（二）项目过程情况</w:t>
      </w:r>
    </w:p>
    <w:p w14:paraId="1E77FF8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项目过程通过资金管理和组织实施两个方面进行评价。项目过程满分15分，得分12.3分。具体得分详见表8。</w:t>
      </w:r>
    </w:p>
    <w:p w14:paraId="091178BF">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表8  项目过程绩效指标分析表</w:t>
      </w:r>
    </w:p>
    <w:tbl>
      <w:tblPr>
        <w:tblStyle w:val="15"/>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812"/>
        <w:gridCol w:w="1563"/>
        <w:gridCol w:w="2660"/>
        <w:gridCol w:w="967"/>
        <w:gridCol w:w="1183"/>
      </w:tblGrid>
      <w:tr w14:paraId="7C09C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496" w:type="dxa"/>
            <w:tcBorders>
              <w:left w:val="nil"/>
              <w:tl2br w:val="nil"/>
              <w:tr2bl w:val="nil"/>
            </w:tcBorders>
            <w:shd w:val="clear" w:color="auto" w:fill="D7D7D7"/>
            <w:noWrap w:val="0"/>
            <w:vAlign w:val="center"/>
          </w:tcPr>
          <w:p w14:paraId="49517D0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2" w:type="dxa"/>
            <w:tcBorders>
              <w:tl2br w:val="nil"/>
              <w:tr2bl w:val="nil"/>
            </w:tcBorders>
            <w:shd w:val="clear" w:color="auto" w:fill="D7D7D7"/>
            <w:noWrap w:val="0"/>
            <w:vAlign w:val="center"/>
          </w:tcPr>
          <w:p w14:paraId="462BD71B">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563" w:type="dxa"/>
            <w:tcBorders>
              <w:tl2br w:val="nil"/>
              <w:tr2bl w:val="nil"/>
            </w:tcBorders>
            <w:shd w:val="clear" w:color="auto" w:fill="D7D7D7"/>
            <w:noWrap w:val="0"/>
            <w:vAlign w:val="center"/>
          </w:tcPr>
          <w:p w14:paraId="42C51B6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660" w:type="dxa"/>
            <w:tcBorders>
              <w:tl2br w:val="nil"/>
              <w:tr2bl w:val="nil"/>
            </w:tcBorders>
            <w:shd w:val="clear" w:color="auto" w:fill="D7D7D7"/>
            <w:noWrap w:val="0"/>
            <w:vAlign w:val="center"/>
          </w:tcPr>
          <w:p w14:paraId="4CC4683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1C290E1E">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0135822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13168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1496" w:type="dxa"/>
            <w:vMerge w:val="restart"/>
            <w:tcBorders>
              <w:left w:val="nil"/>
              <w:tl2br w:val="nil"/>
              <w:tr2bl w:val="nil"/>
            </w:tcBorders>
            <w:noWrap w:val="0"/>
            <w:vAlign w:val="center"/>
          </w:tcPr>
          <w:p w14:paraId="02E4FEE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过程</w:t>
            </w:r>
          </w:p>
        </w:tc>
        <w:tc>
          <w:tcPr>
            <w:tcW w:w="812" w:type="dxa"/>
            <w:vMerge w:val="restart"/>
            <w:tcBorders>
              <w:tl2br w:val="nil"/>
              <w:tr2bl w:val="nil"/>
            </w:tcBorders>
            <w:noWrap w:val="0"/>
            <w:vAlign w:val="center"/>
          </w:tcPr>
          <w:p w14:paraId="1C3086E3">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15</w:t>
            </w:r>
          </w:p>
        </w:tc>
        <w:tc>
          <w:tcPr>
            <w:tcW w:w="1563" w:type="dxa"/>
            <w:vMerge w:val="restart"/>
            <w:tcBorders>
              <w:tl2br w:val="nil"/>
              <w:tr2bl w:val="nil"/>
            </w:tcBorders>
            <w:noWrap w:val="0"/>
            <w:vAlign w:val="center"/>
          </w:tcPr>
          <w:p w14:paraId="2A5DF21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资金管理</w:t>
            </w:r>
          </w:p>
        </w:tc>
        <w:tc>
          <w:tcPr>
            <w:tcW w:w="2660" w:type="dxa"/>
            <w:tcBorders>
              <w:tl2br w:val="nil"/>
              <w:tr2bl w:val="nil"/>
            </w:tcBorders>
            <w:noWrap w:val="0"/>
            <w:vAlign w:val="center"/>
          </w:tcPr>
          <w:p w14:paraId="1276DEE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资金到位率</w:t>
            </w:r>
          </w:p>
        </w:tc>
        <w:tc>
          <w:tcPr>
            <w:tcW w:w="967" w:type="dxa"/>
            <w:tcBorders>
              <w:tl2br w:val="nil"/>
              <w:tr2bl w:val="nil"/>
            </w:tcBorders>
            <w:noWrap w:val="0"/>
            <w:vAlign w:val="center"/>
          </w:tcPr>
          <w:p w14:paraId="6538967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bottom w:val="single" w:color="000000" w:sz="4" w:space="0"/>
              <w:right w:val="nil"/>
              <w:tl2br w:val="nil"/>
              <w:tr2bl w:val="nil"/>
            </w:tcBorders>
            <w:noWrap w:val="0"/>
            <w:vAlign w:val="center"/>
          </w:tcPr>
          <w:p w14:paraId="76107D45">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6BB7D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1496" w:type="dxa"/>
            <w:vMerge w:val="continue"/>
            <w:tcBorders>
              <w:left w:val="nil"/>
              <w:tl2br w:val="nil"/>
              <w:tr2bl w:val="nil"/>
            </w:tcBorders>
            <w:noWrap w:val="0"/>
            <w:vAlign w:val="center"/>
          </w:tcPr>
          <w:p w14:paraId="0BE9CDF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38CE41C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17282FE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11EDB02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预算执行率</w:t>
            </w:r>
          </w:p>
        </w:tc>
        <w:tc>
          <w:tcPr>
            <w:tcW w:w="967" w:type="dxa"/>
            <w:tcBorders>
              <w:tl2br w:val="nil"/>
              <w:tr2bl w:val="nil"/>
            </w:tcBorders>
            <w:noWrap w:val="0"/>
            <w:vAlign w:val="center"/>
          </w:tcPr>
          <w:p w14:paraId="7ED8C82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15DE1183">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r>
      <w:tr w14:paraId="0CB77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496" w:type="dxa"/>
            <w:vMerge w:val="continue"/>
            <w:tcBorders>
              <w:left w:val="nil"/>
              <w:tl2br w:val="nil"/>
              <w:tr2bl w:val="nil"/>
            </w:tcBorders>
            <w:noWrap w:val="0"/>
            <w:vAlign w:val="center"/>
          </w:tcPr>
          <w:p w14:paraId="75BC329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069FB16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4C21FAB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6A4B4C3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资金使用合规性</w:t>
            </w:r>
          </w:p>
        </w:tc>
        <w:tc>
          <w:tcPr>
            <w:tcW w:w="967" w:type="dxa"/>
            <w:tcBorders>
              <w:tl2br w:val="nil"/>
              <w:tr2bl w:val="nil"/>
            </w:tcBorders>
            <w:noWrap w:val="0"/>
            <w:vAlign w:val="center"/>
          </w:tcPr>
          <w:p w14:paraId="502B99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7105C27D">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2.8</w:t>
            </w:r>
          </w:p>
        </w:tc>
      </w:tr>
      <w:tr w14:paraId="71850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496" w:type="dxa"/>
            <w:vMerge w:val="continue"/>
            <w:tcBorders>
              <w:left w:val="nil"/>
              <w:tl2br w:val="nil"/>
              <w:tr2bl w:val="nil"/>
            </w:tcBorders>
            <w:noWrap w:val="0"/>
            <w:vAlign w:val="center"/>
          </w:tcPr>
          <w:p w14:paraId="293CDC1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7C2ED3C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restart"/>
            <w:tcBorders>
              <w:tl2br w:val="nil"/>
              <w:tr2bl w:val="nil"/>
            </w:tcBorders>
            <w:noWrap w:val="0"/>
            <w:vAlign w:val="center"/>
          </w:tcPr>
          <w:p w14:paraId="7FF30D2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组织实施</w:t>
            </w:r>
          </w:p>
        </w:tc>
        <w:tc>
          <w:tcPr>
            <w:tcW w:w="2660" w:type="dxa"/>
            <w:tcBorders>
              <w:tl2br w:val="nil"/>
              <w:tr2bl w:val="nil"/>
            </w:tcBorders>
            <w:noWrap w:val="0"/>
            <w:vAlign w:val="center"/>
          </w:tcPr>
          <w:p w14:paraId="401A41F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管理制度健全性</w:t>
            </w:r>
          </w:p>
        </w:tc>
        <w:tc>
          <w:tcPr>
            <w:tcW w:w="967" w:type="dxa"/>
            <w:tcBorders>
              <w:tl2br w:val="nil"/>
              <w:tr2bl w:val="nil"/>
            </w:tcBorders>
            <w:noWrap w:val="0"/>
            <w:vAlign w:val="center"/>
          </w:tcPr>
          <w:p w14:paraId="34EBDB0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0E6877CA">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2.5</w:t>
            </w:r>
          </w:p>
        </w:tc>
      </w:tr>
      <w:tr w14:paraId="1E4D8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496" w:type="dxa"/>
            <w:vMerge w:val="continue"/>
            <w:tcBorders>
              <w:left w:val="nil"/>
              <w:tl2br w:val="nil"/>
              <w:tr2bl w:val="nil"/>
            </w:tcBorders>
            <w:noWrap w:val="0"/>
            <w:vAlign w:val="center"/>
          </w:tcPr>
          <w:p w14:paraId="2943CED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812" w:type="dxa"/>
            <w:vMerge w:val="continue"/>
            <w:tcBorders>
              <w:tl2br w:val="nil"/>
              <w:tr2bl w:val="nil"/>
            </w:tcBorders>
            <w:noWrap w:val="0"/>
            <w:vAlign w:val="center"/>
          </w:tcPr>
          <w:p w14:paraId="26B3EF1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1563" w:type="dxa"/>
            <w:vMerge w:val="continue"/>
            <w:tcBorders>
              <w:tl2br w:val="nil"/>
              <w:tr2bl w:val="nil"/>
            </w:tcBorders>
            <w:noWrap w:val="0"/>
            <w:vAlign w:val="center"/>
          </w:tcPr>
          <w:p w14:paraId="5E94D6E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p>
        </w:tc>
        <w:tc>
          <w:tcPr>
            <w:tcW w:w="2660" w:type="dxa"/>
            <w:tcBorders>
              <w:tl2br w:val="nil"/>
              <w:tr2bl w:val="nil"/>
            </w:tcBorders>
            <w:noWrap w:val="0"/>
            <w:vAlign w:val="center"/>
          </w:tcPr>
          <w:p w14:paraId="31614FE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制度执行有效性</w:t>
            </w:r>
          </w:p>
        </w:tc>
        <w:tc>
          <w:tcPr>
            <w:tcW w:w="967" w:type="dxa"/>
            <w:tcBorders>
              <w:tl2br w:val="nil"/>
              <w:tr2bl w:val="nil"/>
            </w:tcBorders>
            <w:noWrap w:val="0"/>
            <w:vAlign w:val="center"/>
          </w:tcPr>
          <w:p w14:paraId="45BE523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3</w:t>
            </w:r>
          </w:p>
        </w:tc>
        <w:tc>
          <w:tcPr>
            <w:tcW w:w="1183" w:type="dxa"/>
            <w:tcBorders>
              <w:top w:val="single" w:color="000000" w:sz="4" w:space="0"/>
              <w:bottom w:val="single" w:color="000000" w:sz="4" w:space="0"/>
              <w:right w:val="nil"/>
              <w:tl2br w:val="nil"/>
              <w:tr2bl w:val="nil"/>
            </w:tcBorders>
            <w:noWrap w:val="0"/>
            <w:vAlign w:val="center"/>
          </w:tcPr>
          <w:p w14:paraId="7650643A">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highlight w:val="none"/>
                <w:u w:val="none"/>
                <w:lang w:val="en-US" w:eastAsia="zh-CN" w:bidi="ar"/>
              </w:rPr>
            </w:pPr>
            <w:r>
              <w:rPr>
                <w:rFonts w:hint="eastAsia" w:ascii="仿宋_GB2312" w:hAnsi="仿宋_GB2312" w:eastAsia="仿宋_GB2312" w:cs="仿宋_GB2312"/>
                <w:i w:val="0"/>
                <w:iCs w:val="0"/>
                <w:color w:val="000000"/>
                <w:kern w:val="0"/>
                <w:sz w:val="24"/>
                <w:szCs w:val="24"/>
                <w:highlight w:val="none"/>
                <w:u w:val="none"/>
                <w:lang w:val="en-US" w:eastAsia="zh-CN" w:bidi="ar"/>
              </w:rPr>
              <w:t>1</w:t>
            </w:r>
          </w:p>
        </w:tc>
      </w:tr>
      <w:tr w14:paraId="7BA84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9" w:hRule="atLeast"/>
        </w:trPr>
        <w:tc>
          <w:tcPr>
            <w:tcW w:w="1496" w:type="dxa"/>
            <w:tcBorders>
              <w:left w:val="nil"/>
              <w:tl2br w:val="nil"/>
              <w:tr2bl w:val="nil"/>
            </w:tcBorders>
            <w:noWrap w:val="0"/>
            <w:vAlign w:val="center"/>
          </w:tcPr>
          <w:p w14:paraId="032E3D1A">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合计</w:t>
            </w:r>
          </w:p>
        </w:tc>
        <w:tc>
          <w:tcPr>
            <w:tcW w:w="812" w:type="dxa"/>
            <w:tcBorders>
              <w:tl2br w:val="nil"/>
              <w:tr2bl w:val="nil"/>
            </w:tcBorders>
            <w:noWrap w:val="0"/>
            <w:vAlign w:val="center"/>
          </w:tcPr>
          <w:p w14:paraId="1481C937">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15</w:t>
            </w:r>
          </w:p>
        </w:tc>
        <w:tc>
          <w:tcPr>
            <w:tcW w:w="1563" w:type="dxa"/>
            <w:tcBorders>
              <w:tl2br w:val="nil"/>
              <w:tr2bl w:val="nil"/>
            </w:tcBorders>
            <w:noWrap w:val="0"/>
            <w:vAlign w:val="center"/>
          </w:tcPr>
          <w:p w14:paraId="319D679E">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w:t>
            </w:r>
          </w:p>
        </w:tc>
        <w:tc>
          <w:tcPr>
            <w:tcW w:w="2660" w:type="dxa"/>
            <w:tcBorders>
              <w:tl2br w:val="nil"/>
              <w:tr2bl w:val="nil"/>
            </w:tcBorders>
            <w:noWrap w:val="0"/>
            <w:vAlign w:val="center"/>
          </w:tcPr>
          <w:p w14:paraId="7C24C545">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w:t>
            </w:r>
          </w:p>
        </w:tc>
        <w:tc>
          <w:tcPr>
            <w:tcW w:w="967" w:type="dxa"/>
            <w:tcBorders>
              <w:tl2br w:val="nil"/>
              <w:tr2bl w:val="nil"/>
            </w:tcBorders>
            <w:noWrap w:val="0"/>
            <w:vAlign w:val="center"/>
          </w:tcPr>
          <w:p w14:paraId="59C2F956">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15</w:t>
            </w:r>
          </w:p>
        </w:tc>
        <w:tc>
          <w:tcPr>
            <w:tcW w:w="1183" w:type="dxa"/>
            <w:tcBorders>
              <w:right w:val="nil"/>
              <w:tl2br w:val="nil"/>
              <w:tr2bl w:val="nil"/>
            </w:tcBorders>
            <w:noWrap w:val="0"/>
            <w:vAlign w:val="center"/>
          </w:tcPr>
          <w:p w14:paraId="5BCE396C">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4"/>
                <w:szCs w:val="24"/>
                <w:highlight w:val="none"/>
                <w:u w:val="none"/>
                <w:lang w:val="en-US" w:eastAsia="zh-CN" w:bidi="ar"/>
              </w:rPr>
            </w:pPr>
            <w:r>
              <w:rPr>
                <w:rFonts w:hint="eastAsia" w:ascii="仿宋_GB2312" w:hAnsi="仿宋_GB2312" w:eastAsia="仿宋_GB2312" w:cs="仿宋_GB2312"/>
                <w:b/>
                <w:bCs/>
                <w:i w:val="0"/>
                <w:iCs w:val="0"/>
                <w:color w:val="000000"/>
                <w:kern w:val="0"/>
                <w:sz w:val="24"/>
                <w:szCs w:val="24"/>
                <w:highlight w:val="none"/>
                <w:u w:val="none"/>
                <w:lang w:val="en-US" w:eastAsia="zh-CN" w:bidi="ar"/>
              </w:rPr>
              <w:t>12.3</w:t>
            </w:r>
          </w:p>
        </w:tc>
      </w:tr>
    </w:tbl>
    <w:p w14:paraId="7D9A823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1.资金管理方面</w:t>
      </w:r>
    </w:p>
    <w:p w14:paraId="502AD4E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（1）资金到位率方面。该项目财政预算资金为</w:t>
      </w:r>
      <w:r>
        <w:rPr>
          <w:rFonts w:hint="eastAsia" w:ascii="仿宋_GB2312" w:hAnsi="仿宋_GB2312" w:eastAsia="仿宋_GB2312" w:cs="仿宋_GB2312"/>
          <w:color w:val="auto"/>
          <w:kern w:val="2"/>
          <w:sz w:val="32"/>
          <w:szCs w:val="32"/>
          <w:highlight w:val="none"/>
          <w:lang w:val="en-US" w:eastAsia="zh-CN" w:bidi="ar-SA"/>
        </w:rPr>
        <w:t>380,000.00元</w:t>
      </w:r>
      <w:r>
        <w:rPr>
          <w:rFonts w:hint="eastAsia" w:ascii="仿宋_GB2312" w:hAnsi="仿宋_GB2312" w:eastAsia="仿宋_GB2312" w:cs="仿宋_GB2312"/>
          <w:color w:val="auto"/>
          <w:sz w:val="32"/>
          <w:szCs w:val="32"/>
          <w:highlight w:val="none"/>
          <w:lang w:val="en-US" w:eastAsia="zh-CN"/>
        </w:rPr>
        <w:t>，财政部门拨付到位资金</w:t>
      </w:r>
      <w:r>
        <w:rPr>
          <w:rFonts w:hint="eastAsia" w:ascii="仿宋_GB2312" w:hAnsi="仿宋_GB2312" w:eastAsia="仿宋_GB2312" w:cs="仿宋_GB2312"/>
          <w:color w:val="auto"/>
          <w:kern w:val="2"/>
          <w:sz w:val="32"/>
          <w:szCs w:val="32"/>
          <w:highlight w:val="none"/>
          <w:lang w:val="en-US" w:eastAsia="zh-CN" w:bidi="ar-SA"/>
        </w:rPr>
        <w:t>380,000.00元</w:t>
      </w:r>
      <w:r>
        <w:rPr>
          <w:rFonts w:hint="eastAsia" w:ascii="仿宋_GB2312" w:hAnsi="仿宋_GB2312" w:eastAsia="仿宋_GB2312" w:cs="仿宋_GB2312"/>
          <w:color w:val="auto"/>
          <w:sz w:val="32"/>
          <w:szCs w:val="32"/>
          <w:highlight w:val="none"/>
          <w:lang w:val="en-US" w:eastAsia="zh-CN"/>
        </w:rPr>
        <w:t>,预算资金到位率100%。</w:t>
      </w:r>
    </w:p>
    <w:p w14:paraId="4E618251">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（2）预算执行率方面。截至评价日，</w:t>
      </w:r>
      <w:r>
        <w:rPr>
          <w:rFonts w:hint="eastAsia" w:ascii="仿宋_GB2312" w:hAnsi="仿宋_GB2312" w:eastAsia="仿宋_GB2312" w:cs="仿宋_GB2312"/>
          <w:kern w:val="2"/>
          <w:sz w:val="32"/>
          <w:szCs w:val="32"/>
          <w:highlight w:val="none"/>
          <w:lang w:val="en-US" w:eastAsia="zh-CN" w:bidi="ar-SA"/>
        </w:rPr>
        <w:t>项目共支出资金</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 sum(D2:D7) \* MERGEFORMAT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467,197</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.00元</w:t>
      </w:r>
      <w:r>
        <w:rPr>
          <w:rFonts w:hint="eastAsia" w:ascii="仿宋_GB2312" w:hAnsi="仿宋_GB2312" w:eastAsia="仿宋_GB2312" w:cs="仿宋_GB2312"/>
          <w:kern w:val="2"/>
          <w:sz w:val="32"/>
          <w:szCs w:val="32"/>
          <w:highlight w:val="none"/>
          <w:lang w:val="en-US" w:eastAsia="zh-CN" w:bidi="ar-SA"/>
        </w:rPr>
        <w:t>,</w:t>
      </w:r>
      <w:r>
        <w:rPr>
          <w:rFonts w:hint="eastAsia" w:ascii="仿宋_GB2312" w:hAnsi="仿宋_GB2312" w:eastAsia="仿宋_GB2312" w:cs="仿宋_GB2312"/>
          <w:spacing w:val="-6"/>
          <w:kern w:val="2"/>
          <w:sz w:val="32"/>
          <w:szCs w:val="32"/>
          <w:highlight w:val="none"/>
          <w:lang w:val="en-US" w:eastAsia="zh-CN" w:bidi="ar-SA"/>
        </w:rPr>
        <w:t>其中财政预算资金支出380,000.00元，绛帐镇凤鸣村村委会自有资金支出87,197.00元，</w:t>
      </w:r>
      <w:r>
        <w:rPr>
          <w:rFonts w:hint="eastAsia" w:ascii="仿宋_GB2312" w:hAnsi="仿宋_GB2312" w:eastAsia="仿宋_GB2312" w:cs="仿宋_GB2312"/>
          <w:kern w:val="2"/>
          <w:sz w:val="32"/>
          <w:szCs w:val="32"/>
          <w:highlight w:val="none"/>
          <w:lang w:val="en-US" w:eastAsia="zh-CN" w:bidi="ar-SA"/>
        </w:rPr>
        <w:t>项目预算资金执行率为100%。</w:t>
      </w:r>
    </w:p>
    <w:p w14:paraId="617D7929">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（3）资金使用合规性方面。项目资金支出符合国家有关政策及其专项资金管理办法等相关规定，手续齐全，未发现资金截留、挤占、挪用、虚列支出等现象。但部分财务凭证附件不够齐全。</w:t>
      </w:r>
    </w:p>
    <w:p w14:paraId="4CF1055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2.组织实施方面</w:t>
      </w:r>
    </w:p>
    <w:p w14:paraId="69D3A8C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（1）管理制度健全性方面。项目各相关单位有相关管理制度，但制度不够规范。</w:t>
      </w:r>
    </w:p>
    <w:p w14:paraId="27282E7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（2）制度执行有效性方面。项目单位能遵守相关法律法规和相关管理规定，做好项目实施和财务管理工作。但在制度执行方面仍存在一些不足。一</w:t>
      </w:r>
      <w:r>
        <w:rPr>
          <w:rFonts w:hint="eastAsia" w:ascii="仿宋_GB2312" w:hAnsi="仿宋_GB2312" w:eastAsia="仿宋_GB2312" w:cs="仿宋_GB2312"/>
          <w:kern w:val="2"/>
          <w:sz w:val="32"/>
          <w:szCs w:val="32"/>
          <w:highlight w:val="none"/>
          <w:lang w:val="en-US" w:eastAsia="zh-CN" w:bidi="ar-SA"/>
        </w:rPr>
        <w:t>是项目相关管理不到位，拆除及恢复阶段共支付给扶风县日新堂工程劳务有限公司400,030.00元，未履行招标程序。二是通过现场查看，项目实施后的部分拆除物堆落在河道，说明项目在组织实施过程中存在不足。三</w:t>
      </w:r>
      <w:r>
        <w:rPr>
          <w:rFonts w:hint="eastAsia" w:ascii="仿宋_GB2312" w:hAnsi="仿宋_GB2312" w:eastAsia="仿宋_GB2312" w:cs="仿宋_GB2312"/>
          <w:sz w:val="32"/>
          <w:szCs w:val="32"/>
          <w:highlight w:val="none"/>
          <w:lang w:val="en-US" w:eastAsia="zh-CN"/>
        </w:rPr>
        <w:t>是</w:t>
      </w:r>
      <w:r>
        <w:rPr>
          <w:rFonts w:hint="eastAsia" w:ascii="仿宋_GB2312" w:hAnsi="仿宋_GB2312" w:eastAsia="仿宋_GB2312" w:cs="仿宋_GB2312"/>
          <w:color w:val="auto"/>
          <w:sz w:val="32"/>
          <w:szCs w:val="32"/>
          <w:highlight w:val="none"/>
          <w:lang w:val="en-US" w:eastAsia="zh-CN"/>
        </w:rPr>
        <w:t>项目绩效管理工作不够到位，项目总结、自评等工作不够规范、不够详实。</w:t>
      </w:r>
    </w:p>
    <w:p w14:paraId="4A161C85">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评价组认为，项目过程从整体上看，项目资金管理规范，资金到位率高，资金使用合规，预算执行率高。但相关制度不够健全，制度执行不到位，项目总结、自评及信息采集工作不够规范等问题。</w:t>
      </w:r>
    </w:p>
    <w:p w14:paraId="79154A2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（三）项目成本情况</w:t>
      </w:r>
    </w:p>
    <w:p w14:paraId="7A86BE5A">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 w:hAnsi="仿宋" w:eastAsia="仿宋" w:cs="仿宋"/>
          <w:b/>
          <w:bCs/>
          <w:kern w:val="2"/>
          <w:sz w:val="28"/>
          <w:szCs w:val="28"/>
          <w:highlight w:val="none"/>
          <w:lang w:val="en-US" w:eastAsia="zh-CN" w:bidi="ar-SA"/>
        </w:rPr>
      </w:pPr>
      <w:r>
        <w:rPr>
          <w:rFonts w:hint="eastAsia" w:ascii="仿宋_GB2312" w:hAnsi="仿宋_GB2312" w:eastAsia="仿宋_GB2312" w:cs="仿宋_GB2312"/>
          <w:color w:val="auto"/>
          <w:sz w:val="32"/>
          <w:szCs w:val="32"/>
          <w:highlight w:val="none"/>
          <w:lang w:val="en-US" w:eastAsia="zh-CN"/>
        </w:rPr>
        <w:t>项目成本通过经济成本、社会成本、生态环境成本三个方面进行评价。项目成本满分13分，得分6分。具体得分详见表9。</w:t>
      </w:r>
    </w:p>
    <w:p w14:paraId="2866C426">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表9  项目成本绩效指标分析表</w:t>
      </w:r>
    </w:p>
    <w:tbl>
      <w:tblPr>
        <w:tblStyle w:val="15"/>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803"/>
        <w:gridCol w:w="1596"/>
        <w:gridCol w:w="3182"/>
        <w:gridCol w:w="932"/>
        <w:gridCol w:w="972"/>
      </w:tblGrid>
      <w:tr w14:paraId="4C07F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196" w:type="dxa"/>
            <w:tcBorders>
              <w:left w:val="nil"/>
              <w:tl2br w:val="nil"/>
              <w:tr2bl w:val="nil"/>
            </w:tcBorders>
            <w:shd w:val="clear" w:color="auto" w:fill="D7D7D7"/>
            <w:noWrap w:val="0"/>
            <w:vAlign w:val="center"/>
          </w:tcPr>
          <w:p w14:paraId="094D0643">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一级指标</w:t>
            </w:r>
          </w:p>
        </w:tc>
        <w:tc>
          <w:tcPr>
            <w:tcW w:w="803" w:type="dxa"/>
            <w:tcBorders>
              <w:tl2br w:val="nil"/>
              <w:tr2bl w:val="nil"/>
            </w:tcBorders>
            <w:shd w:val="clear" w:color="auto" w:fill="D7D7D7"/>
            <w:noWrap w:val="0"/>
            <w:vAlign w:val="center"/>
          </w:tcPr>
          <w:p w14:paraId="3D7AB7E0">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color w:val="auto"/>
                <w:sz w:val="24"/>
                <w:szCs w:val="24"/>
                <w:highlight w:val="none"/>
              </w:rPr>
            </w:pPr>
            <w:r>
              <w:rPr>
                <w:rFonts w:hint="eastAsia" w:ascii="仿宋_GB2312" w:hAnsi="仿宋_GB2312" w:eastAsia="仿宋_GB2312" w:cs="仿宋_GB2312"/>
                <w:b/>
                <w:color w:val="auto"/>
                <w:sz w:val="24"/>
                <w:szCs w:val="24"/>
                <w:highlight w:val="none"/>
              </w:rPr>
              <w:t>分值</w:t>
            </w:r>
          </w:p>
        </w:tc>
        <w:tc>
          <w:tcPr>
            <w:tcW w:w="1596" w:type="dxa"/>
            <w:tcBorders>
              <w:tl2br w:val="nil"/>
              <w:tr2bl w:val="nil"/>
            </w:tcBorders>
            <w:shd w:val="clear" w:color="auto" w:fill="D7D7D7"/>
            <w:noWrap w:val="0"/>
            <w:vAlign w:val="center"/>
          </w:tcPr>
          <w:p w14:paraId="6FD5FD1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二级指标</w:t>
            </w:r>
          </w:p>
        </w:tc>
        <w:tc>
          <w:tcPr>
            <w:tcW w:w="3182" w:type="dxa"/>
            <w:tcBorders>
              <w:tl2br w:val="nil"/>
              <w:tr2bl w:val="nil"/>
            </w:tcBorders>
            <w:shd w:val="clear" w:color="auto" w:fill="D7D7D7"/>
            <w:noWrap w:val="0"/>
            <w:vAlign w:val="center"/>
          </w:tcPr>
          <w:p w14:paraId="0FF45F3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三级指标</w:t>
            </w:r>
          </w:p>
        </w:tc>
        <w:tc>
          <w:tcPr>
            <w:tcW w:w="932" w:type="dxa"/>
            <w:tcBorders>
              <w:tl2br w:val="nil"/>
              <w:tr2bl w:val="nil"/>
            </w:tcBorders>
            <w:shd w:val="clear" w:color="auto" w:fill="D7D7D7"/>
            <w:noWrap w:val="0"/>
            <w:vAlign w:val="center"/>
          </w:tcPr>
          <w:p w14:paraId="59528772">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分值</w:t>
            </w:r>
          </w:p>
        </w:tc>
        <w:tc>
          <w:tcPr>
            <w:tcW w:w="972" w:type="dxa"/>
            <w:tcBorders>
              <w:right w:val="nil"/>
              <w:tl2br w:val="nil"/>
              <w:tr2bl w:val="nil"/>
            </w:tcBorders>
            <w:shd w:val="clear" w:color="auto" w:fill="D7D7D7"/>
            <w:noWrap w:val="0"/>
            <w:vAlign w:val="center"/>
          </w:tcPr>
          <w:p w14:paraId="29ABFEE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得分</w:t>
            </w:r>
          </w:p>
        </w:tc>
      </w:tr>
      <w:tr w14:paraId="5C2A8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96" w:type="dxa"/>
            <w:vMerge w:val="restart"/>
            <w:tcBorders>
              <w:left w:val="nil"/>
              <w:tl2br w:val="nil"/>
              <w:tr2bl w:val="nil"/>
            </w:tcBorders>
            <w:noWrap w:val="0"/>
            <w:vAlign w:val="center"/>
          </w:tcPr>
          <w:p w14:paraId="418C1176">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成本</w:t>
            </w:r>
          </w:p>
        </w:tc>
        <w:tc>
          <w:tcPr>
            <w:tcW w:w="803" w:type="dxa"/>
            <w:vMerge w:val="restart"/>
            <w:tcBorders>
              <w:tl2br w:val="nil"/>
              <w:tr2bl w:val="nil"/>
            </w:tcBorders>
            <w:noWrap w:val="0"/>
            <w:vAlign w:val="center"/>
          </w:tcPr>
          <w:p w14:paraId="66705DD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13</w:t>
            </w:r>
          </w:p>
        </w:tc>
        <w:tc>
          <w:tcPr>
            <w:tcW w:w="1596" w:type="dxa"/>
            <w:tcBorders>
              <w:tl2br w:val="nil"/>
              <w:tr2bl w:val="nil"/>
            </w:tcBorders>
            <w:noWrap w:val="0"/>
            <w:vAlign w:val="center"/>
          </w:tcPr>
          <w:p w14:paraId="0356F4E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经济成本</w:t>
            </w:r>
          </w:p>
        </w:tc>
        <w:tc>
          <w:tcPr>
            <w:tcW w:w="3182" w:type="dxa"/>
            <w:tcBorders>
              <w:tl2br w:val="nil"/>
              <w:tr2bl w:val="nil"/>
            </w:tcBorders>
            <w:noWrap w:val="0"/>
            <w:vAlign w:val="center"/>
          </w:tcPr>
          <w:p w14:paraId="62CCF5C7">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单位成本或分项成本节约率</w:t>
            </w:r>
          </w:p>
        </w:tc>
        <w:tc>
          <w:tcPr>
            <w:tcW w:w="932" w:type="dxa"/>
            <w:tcBorders>
              <w:tl2br w:val="nil"/>
              <w:tr2bl w:val="nil"/>
            </w:tcBorders>
            <w:noWrap w:val="0"/>
            <w:vAlign w:val="center"/>
          </w:tcPr>
          <w:p w14:paraId="7653EF1C">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972" w:type="dxa"/>
            <w:tcBorders>
              <w:bottom w:val="single" w:color="000000" w:sz="4" w:space="0"/>
              <w:right w:val="nil"/>
              <w:tl2br w:val="nil"/>
              <w:tr2bl w:val="nil"/>
            </w:tcBorders>
            <w:noWrap w:val="0"/>
            <w:vAlign w:val="center"/>
          </w:tcPr>
          <w:p w14:paraId="01497CF5">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0</w:t>
            </w:r>
          </w:p>
        </w:tc>
      </w:tr>
      <w:tr w14:paraId="6E9D3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196" w:type="dxa"/>
            <w:vMerge w:val="continue"/>
            <w:tcBorders>
              <w:left w:val="nil"/>
              <w:tl2br w:val="nil"/>
              <w:tr2bl w:val="nil"/>
            </w:tcBorders>
            <w:noWrap w:val="0"/>
            <w:vAlign w:val="center"/>
          </w:tcPr>
          <w:p w14:paraId="0B084D7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03" w:type="dxa"/>
            <w:vMerge w:val="continue"/>
            <w:tcBorders>
              <w:tl2br w:val="nil"/>
              <w:tr2bl w:val="nil"/>
            </w:tcBorders>
            <w:noWrap w:val="0"/>
            <w:vAlign w:val="center"/>
          </w:tcPr>
          <w:p w14:paraId="09B281F5">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596" w:type="dxa"/>
            <w:tcBorders>
              <w:tl2br w:val="nil"/>
              <w:tr2bl w:val="nil"/>
            </w:tcBorders>
            <w:noWrap w:val="0"/>
            <w:vAlign w:val="center"/>
          </w:tcPr>
          <w:p w14:paraId="5397ABC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color w:val="auto"/>
                <w:sz w:val="24"/>
                <w:szCs w:val="24"/>
                <w:highlight w:val="none"/>
                <w:lang w:eastAsia="zh-CN"/>
              </w:rPr>
            </w:pPr>
            <w:r>
              <w:rPr>
                <w:rFonts w:hint="eastAsia" w:ascii="仿宋_GB2312" w:hAnsi="仿宋_GB2312" w:eastAsia="仿宋_GB2312" w:cs="仿宋_GB2312"/>
                <w:color w:val="auto"/>
                <w:sz w:val="24"/>
                <w:szCs w:val="24"/>
                <w:highlight w:val="none"/>
                <w:lang w:val="en-US" w:eastAsia="zh-CN"/>
              </w:rPr>
              <w:t>社会成本</w:t>
            </w:r>
          </w:p>
        </w:tc>
        <w:tc>
          <w:tcPr>
            <w:tcW w:w="3182" w:type="dxa"/>
            <w:tcBorders>
              <w:tl2br w:val="nil"/>
              <w:tr2bl w:val="nil"/>
            </w:tcBorders>
            <w:noWrap w:val="0"/>
            <w:vAlign w:val="center"/>
          </w:tcPr>
          <w:p w14:paraId="464940E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公众支持和认可情况</w:t>
            </w:r>
          </w:p>
        </w:tc>
        <w:tc>
          <w:tcPr>
            <w:tcW w:w="932" w:type="dxa"/>
            <w:tcBorders>
              <w:tl2br w:val="nil"/>
              <w:tr2bl w:val="nil"/>
            </w:tcBorders>
            <w:noWrap w:val="0"/>
            <w:vAlign w:val="center"/>
          </w:tcPr>
          <w:p w14:paraId="3884EE1C">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972" w:type="dxa"/>
            <w:tcBorders>
              <w:top w:val="single" w:color="000000" w:sz="4" w:space="0"/>
              <w:bottom w:val="single" w:color="000000" w:sz="4" w:space="0"/>
              <w:right w:val="nil"/>
              <w:tl2br w:val="nil"/>
              <w:tr2bl w:val="nil"/>
            </w:tcBorders>
            <w:noWrap w:val="0"/>
            <w:vAlign w:val="center"/>
          </w:tcPr>
          <w:p w14:paraId="0DE4845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r>
      <w:tr w14:paraId="6403E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196" w:type="dxa"/>
            <w:vMerge w:val="continue"/>
            <w:tcBorders>
              <w:left w:val="nil"/>
              <w:tl2br w:val="nil"/>
              <w:tr2bl w:val="nil"/>
            </w:tcBorders>
            <w:noWrap w:val="0"/>
            <w:vAlign w:val="center"/>
          </w:tcPr>
          <w:p w14:paraId="7BC179D7">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rPr>
            </w:pPr>
          </w:p>
        </w:tc>
        <w:tc>
          <w:tcPr>
            <w:tcW w:w="803" w:type="dxa"/>
            <w:vMerge w:val="continue"/>
            <w:tcBorders>
              <w:tl2br w:val="nil"/>
              <w:tr2bl w:val="nil"/>
            </w:tcBorders>
            <w:noWrap w:val="0"/>
            <w:vAlign w:val="center"/>
          </w:tcPr>
          <w:p w14:paraId="01438AFF">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p>
        </w:tc>
        <w:tc>
          <w:tcPr>
            <w:tcW w:w="1596" w:type="dxa"/>
            <w:tcBorders>
              <w:tl2br w:val="nil"/>
              <w:tr2bl w:val="nil"/>
            </w:tcBorders>
            <w:noWrap w:val="0"/>
            <w:vAlign w:val="center"/>
          </w:tcPr>
          <w:p w14:paraId="12D51969">
            <w:pPr>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auto"/>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生态环境成本</w:t>
            </w:r>
          </w:p>
        </w:tc>
        <w:tc>
          <w:tcPr>
            <w:tcW w:w="3182" w:type="dxa"/>
            <w:tcBorders>
              <w:tl2br w:val="nil"/>
              <w:tr2bl w:val="nil"/>
            </w:tcBorders>
            <w:noWrap w:val="0"/>
            <w:vAlign w:val="center"/>
          </w:tcPr>
          <w:p w14:paraId="2CE1DBAD">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自然生态环境负作用</w:t>
            </w:r>
          </w:p>
        </w:tc>
        <w:tc>
          <w:tcPr>
            <w:tcW w:w="932" w:type="dxa"/>
            <w:tcBorders>
              <w:tl2br w:val="nil"/>
              <w:tr2bl w:val="nil"/>
            </w:tcBorders>
            <w:noWrap w:val="0"/>
            <w:vAlign w:val="center"/>
          </w:tcPr>
          <w:p w14:paraId="24440C95">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972" w:type="dxa"/>
            <w:tcBorders>
              <w:top w:val="single" w:color="000000" w:sz="4" w:space="0"/>
              <w:right w:val="nil"/>
              <w:tl2br w:val="nil"/>
              <w:tr2bl w:val="nil"/>
            </w:tcBorders>
            <w:noWrap w:val="0"/>
            <w:vAlign w:val="center"/>
          </w:tcPr>
          <w:p w14:paraId="0BA3BCA4">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3</w:t>
            </w:r>
          </w:p>
        </w:tc>
      </w:tr>
      <w:tr w14:paraId="5418E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4" w:hRule="atLeast"/>
        </w:trPr>
        <w:tc>
          <w:tcPr>
            <w:tcW w:w="1196" w:type="dxa"/>
            <w:tcBorders>
              <w:left w:val="nil"/>
              <w:tl2br w:val="nil"/>
              <w:tr2bl w:val="nil"/>
            </w:tcBorders>
            <w:noWrap w:val="0"/>
            <w:vAlign w:val="center"/>
          </w:tcPr>
          <w:p w14:paraId="1C4E04BD">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803" w:type="dxa"/>
            <w:tcBorders>
              <w:tl2br w:val="nil"/>
              <w:tr2bl w:val="nil"/>
            </w:tcBorders>
            <w:noWrap w:val="0"/>
            <w:vAlign w:val="center"/>
          </w:tcPr>
          <w:p w14:paraId="25BEE094">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13</w:t>
            </w:r>
          </w:p>
        </w:tc>
        <w:tc>
          <w:tcPr>
            <w:tcW w:w="1596" w:type="dxa"/>
            <w:tcBorders>
              <w:tl2br w:val="nil"/>
              <w:tr2bl w:val="nil"/>
            </w:tcBorders>
            <w:noWrap w:val="0"/>
            <w:vAlign w:val="center"/>
          </w:tcPr>
          <w:p w14:paraId="28557A0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3182" w:type="dxa"/>
            <w:tcBorders>
              <w:tl2br w:val="nil"/>
              <w:tr2bl w:val="nil"/>
            </w:tcBorders>
            <w:noWrap w:val="0"/>
            <w:vAlign w:val="center"/>
          </w:tcPr>
          <w:p w14:paraId="5F3D55EA">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32" w:type="dxa"/>
            <w:tcBorders>
              <w:tl2br w:val="nil"/>
              <w:tr2bl w:val="nil"/>
            </w:tcBorders>
            <w:noWrap w:val="0"/>
            <w:vAlign w:val="center"/>
          </w:tcPr>
          <w:p w14:paraId="27E024FC">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fldChar w:fldCharType="begin"/>
            </w:r>
            <w:r>
              <w:rPr>
                <w:rFonts w:hint="eastAsia" w:ascii="仿宋_GB2312" w:hAnsi="仿宋_GB2312" w:eastAsia="仿宋_GB2312" w:cs="仿宋_GB2312"/>
                <w:b/>
                <w:bCs/>
                <w:color w:val="auto"/>
                <w:sz w:val="24"/>
                <w:szCs w:val="24"/>
                <w:highlight w:val="none"/>
                <w:lang w:val="en-US" w:eastAsia="zh-CN"/>
              </w:rPr>
              <w:instrText xml:space="preserve"> = sum(E2:E5) \* MERGEFORMAT </w:instrText>
            </w:r>
            <w:r>
              <w:rPr>
                <w:rFonts w:hint="eastAsia" w:ascii="仿宋_GB2312" w:hAnsi="仿宋_GB2312" w:eastAsia="仿宋_GB2312" w:cs="仿宋_GB2312"/>
                <w:b/>
                <w:bCs/>
                <w:color w:val="auto"/>
                <w:sz w:val="24"/>
                <w:szCs w:val="24"/>
                <w:highlight w:val="none"/>
                <w:lang w:val="en-US" w:eastAsia="zh-CN"/>
              </w:rPr>
              <w:fldChar w:fldCharType="separate"/>
            </w:r>
            <w:r>
              <w:rPr>
                <w:rFonts w:hint="eastAsia" w:ascii="仿宋_GB2312" w:hAnsi="仿宋_GB2312" w:eastAsia="仿宋_GB2312" w:cs="仿宋_GB2312"/>
                <w:b/>
                <w:bCs/>
                <w:color w:val="auto"/>
                <w:sz w:val="24"/>
                <w:szCs w:val="24"/>
                <w:highlight w:val="none"/>
                <w:lang w:val="en-US" w:eastAsia="zh-CN"/>
              </w:rPr>
              <w:t>13</w:t>
            </w:r>
            <w:r>
              <w:rPr>
                <w:rFonts w:hint="eastAsia" w:ascii="仿宋_GB2312" w:hAnsi="仿宋_GB2312" w:eastAsia="仿宋_GB2312" w:cs="仿宋_GB2312"/>
                <w:b/>
                <w:bCs/>
                <w:color w:val="auto"/>
                <w:sz w:val="24"/>
                <w:szCs w:val="24"/>
                <w:highlight w:val="none"/>
                <w:lang w:val="en-US" w:eastAsia="zh-CN"/>
              </w:rPr>
              <w:fldChar w:fldCharType="end"/>
            </w:r>
          </w:p>
        </w:tc>
        <w:tc>
          <w:tcPr>
            <w:tcW w:w="972" w:type="dxa"/>
            <w:tcBorders>
              <w:right w:val="nil"/>
              <w:tl2br w:val="nil"/>
              <w:tr2bl w:val="nil"/>
            </w:tcBorders>
            <w:noWrap w:val="0"/>
            <w:vAlign w:val="center"/>
          </w:tcPr>
          <w:p w14:paraId="1051287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6</w:t>
            </w:r>
          </w:p>
        </w:tc>
      </w:tr>
    </w:tbl>
    <w:p w14:paraId="3E6F5A6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1.经济成本方面。项目建设成本控制不力，项目需要资金</w:t>
      </w:r>
      <w:r>
        <w:rPr>
          <w:rFonts w:hint="eastAsia" w:ascii="仿宋_GB2312" w:hAnsi="仿宋_GB2312" w:eastAsia="仿宋_GB2312" w:cs="仿宋_GB2312"/>
          <w:color w:val="auto"/>
          <w:kern w:val="2"/>
          <w:sz w:val="32"/>
          <w:szCs w:val="32"/>
          <w:highlight w:val="none"/>
          <w:lang w:val="en-US" w:eastAsia="zh-CN" w:bidi="ar-SA"/>
        </w:rPr>
        <w:t>（申请资金）450,000.00元</w:t>
      </w:r>
      <w:r>
        <w:rPr>
          <w:rFonts w:hint="eastAsia" w:ascii="仿宋_GB2312" w:hAnsi="仿宋_GB2312" w:eastAsia="仿宋_GB2312" w:cs="仿宋_GB2312"/>
          <w:color w:val="auto"/>
          <w:sz w:val="32"/>
          <w:szCs w:val="32"/>
          <w:highlight w:val="none"/>
          <w:lang w:val="en-US" w:eastAsia="zh-CN"/>
        </w:rPr>
        <w:t>，但实际支出资金</w:t>
      </w:r>
      <w:r>
        <w:rPr>
          <w:rFonts w:hint="eastAsia" w:ascii="仿宋_GB2312" w:hAnsi="仿宋_GB2312" w:eastAsia="仿宋_GB2312" w:cs="仿宋_GB2312"/>
          <w:color w:val="auto"/>
          <w:kern w:val="2"/>
          <w:sz w:val="32"/>
          <w:szCs w:val="32"/>
          <w:highlight w:val="none"/>
          <w:lang w:val="en-US" w:eastAsia="zh-CN" w:bidi="ar-SA"/>
        </w:rPr>
        <w:t>467,197.00元,</w:t>
      </w:r>
      <w:r>
        <w:rPr>
          <w:rFonts w:hint="eastAsia" w:ascii="仿宋_GB2312" w:hAnsi="仿宋_GB2312" w:eastAsia="仿宋_GB2312" w:cs="仿宋_GB2312"/>
          <w:color w:val="auto"/>
          <w:sz w:val="32"/>
          <w:szCs w:val="32"/>
          <w:highlight w:val="none"/>
          <w:lang w:val="en-US" w:eastAsia="zh-CN"/>
        </w:rPr>
        <w:t>超支17,197.00元，成本节约率小于0%，按照评分标准规定不得分。</w:t>
      </w:r>
    </w:p>
    <w:p w14:paraId="3644086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2.社会成本方面。项目初期，对群众的宣传解释工作不到位，与部分群众关于房屋拆除的沟通不够充分，导致个别群众对项目存在误解，一定程度上影响了群众认可度和支持度。</w:t>
      </w:r>
    </w:p>
    <w:p w14:paraId="2BA5822F">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6"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3.生态成本方面。项目的实施有效改善了区域污水排放状况，减少了污水对土壤和水体的污染，保护了生态环境。但项目未及时清理河道的拆除垃圾，在一定程度上影响了周边生态环境。</w:t>
      </w:r>
    </w:p>
    <w:p w14:paraId="20378C57">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评价组认为，项目经济成本、</w:t>
      </w:r>
      <w:r>
        <w:rPr>
          <w:rFonts w:hint="eastAsia" w:ascii="仿宋_GB2312" w:hAnsi="仿宋_GB2312" w:eastAsia="仿宋_GB2312" w:cs="仿宋_GB2312"/>
          <w:color w:val="auto"/>
          <w:kern w:val="2"/>
          <w:sz w:val="32"/>
          <w:szCs w:val="32"/>
          <w:highlight w:val="none"/>
          <w:lang w:val="en-US" w:eastAsia="zh-CN" w:bidi="ar-SA"/>
        </w:rPr>
        <w:t>社会成本和</w:t>
      </w:r>
      <w:r>
        <w:rPr>
          <w:rFonts w:hint="eastAsia" w:ascii="仿宋_GB2312" w:hAnsi="仿宋_GB2312" w:eastAsia="仿宋_GB2312" w:cs="仿宋_GB2312"/>
          <w:color w:val="auto"/>
          <w:sz w:val="32"/>
          <w:szCs w:val="32"/>
          <w:highlight w:val="none"/>
          <w:lang w:val="en-US" w:eastAsia="zh-CN"/>
        </w:rPr>
        <w:t>生态环境成本方面，总体在一定程度上均有影响。</w:t>
      </w:r>
    </w:p>
    <w:p w14:paraId="7ABD2CEB">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default" w:ascii="楷体" w:hAnsi="楷体" w:eastAsia="楷体" w:cs="楷体"/>
          <w:b/>
          <w:bCs/>
          <w:color w:val="auto"/>
          <w:sz w:val="32"/>
          <w:szCs w:val="32"/>
          <w:highlight w:val="none"/>
          <w:lang w:val="en-US" w:eastAsia="zh-CN"/>
        </w:rPr>
      </w:pPr>
      <w:r>
        <w:rPr>
          <w:rFonts w:hint="eastAsia" w:ascii="楷体" w:hAnsi="楷体" w:eastAsia="楷体" w:cs="楷体"/>
          <w:b/>
          <w:bCs/>
          <w:color w:val="auto"/>
          <w:sz w:val="32"/>
          <w:szCs w:val="32"/>
          <w:highlight w:val="none"/>
          <w:lang w:val="en-US" w:eastAsia="zh-CN"/>
        </w:rPr>
        <w:t>（四）项目产出情况</w:t>
      </w:r>
    </w:p>
    <w:p w14:paraId="2F0BB51D">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项目产出通过产出数量、产出质量、产出时效三个方面进行评价。项目产出满分25分，得分22分。具体得分详见表10。</w:t>
      </w:r>
    </w:p>
    <w:p w14:paraId="11E3A637">
      <w:pPr>
        <w:pStyle w:val="2"/>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表10   项目产出绩效指标分析表</w:t>
      </w:r>
    </w:p>
    <w:tbl>
      <w:tblPr>
        <w:tblStyle w:val="15"/>
        <w:tblW w:w="8681" w:type="dxa"/>
        <w:tblInd w:w="2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8"/>
        <w:gridCol w:w="811"/>
        <w:gridCol w:w="1677"/>
        <w:gridCol w:w="2785"/>
        <w:gridCol w:w="967"/>
        <w:gridCol w:w="1183"/>
      </w:tblGrid>
      <w:tr w14:paraId="32FCF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258" w:type="dxa"/>
            <w:tcBorders>
              <w:left w:val="nil"/>
              <w:tl2br w:val="nil"/>
              <w:tr2bl w:val="nil"/>
            </w:tcBorders>
            <w:shd w:val="clear" w:color="auto" w:fill="D7D7D7"/>
            <w:noWrap w:val="0"/>
            <w:vAlign w:val="center"/>
          </w:tcPr>
          <w:p w14:paraId="667282B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一级指标</w:t>
            </w:r>
          </w:p>
        </w:tc>
        <w:tc>
          <w:tcPr>
            <w:tcW w:w="811" w:type="dxa"/>
            <w:tcBorders>
              <w:tl2br w:val="nil"/>
              <w:tr2bl w:val="nil"/>
            </w:tcBorders>
            <w:shd w:val="clear" w:color="auto" w:fill="D7D7D7"/>
            <w:noWrap w:val="0"/>
            <w:vAlign w:val="center"/>
          </w:tcPr>
          <w:p w14:paraId="2FEC25EA">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color w:val="auto"/>
                <w:sz w:val="24"/>
                <w:szCs w:val="24"/>
                <w:highlight w:val="none"/>
              </w:rPr>
            </w:pPr>
            <w:r>
              <w:rPr>
                <w:rFonts w:hint="eastAsia" w:ascii="仿宋" w:hAnsi="仿宋" w:eastAsia="仿宋" w:cs="仿宋"/>
                <w:b/>
                <w:color w:val="auto"/>
                <w:sz w:val="24"/>
                <w:szCs w:val="24"/>
                <w:highlight w:val="none"/>
              </w:rPr>
              <w:t>分值</w:t>
            </w:r>
          </w:p>
        </w:tc>
        <w:tc>
          <w:tcPr>
            <w:tcW w:w="1677" w:type="dxa"/>
            <w:tcBorders>
              <w:tl2br w:val="nil"/>
              <w:tr2bl w:val="nil"/>
            </w:tcBorders>
            <w:shd w:val="clear" w:color="auto" w:fill="D7D7D7"/>
            <w:noWrap w:val="0"/>
            <w:vAlign w:val="center"/>
          </w:tcPr>
          <w:p w14:paraId="6DEB67A8">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二级指标</w:t>
            </w:r>
          </w:p>
        </w:tc>
        <w:tc>
          <w:tcPr>
            <w:tcW w:w="2785" w:type="dxa"/>
            <w:tcBorders>
              <w:tl2br w:val="nil"/>
              <w:tr2bl w:val="nil"/>
            </w:tcBorders>
            <w:shd w:val="clear" w:color="auto" w:fill="D7D7D7"/>
            <w:noWrap w:val="0"/>
            <w:vAlign w:val="center"/>
          </w:tcPr>
          <w:p w14:paraId="305AF421">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三级指标</w:t>
            </w:r>
          </w:p>
        </w:tc>
        <w:tc>
          <w:tcPr>
            <w:tcW w:w="967" w:type="dxa"/>
            <w:tcBorders>
              <w:tl2br w:val="nil"/>
              <w:tr2bl w:val="nil"/>
            </w:tcBorders>
            <w:shd w:val="clear" w:color="auto" w:fill="D7D7D7"/>
            <w:noWrap w:val="0"/>
            <w:vAlign w:val="center"/>
          </w:tcPr>
          <w:p w14:paraId="0238151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分值</w:t>
            </w:r>
          </w:p>
        </w:tc>
        <w:tc>
          <w:tcPr>
            <w:tcW w:w="1183" w:type="dxa"/>
            <w:tcBorders>
              <w:right w:val="nil"/>
              <w:tl2br w:val="nil"/>
              <w:tr2bl w:val="nil"/>
            </w:tcBorders>
            <w:shd w:val="clear" w:color="auto" w:fill="D7D7D7"/>
            <w:noWrap w:val="0"/>
            <w:vAlign w:val="center"/>
          </w:tcPr>
          <w:p w14:paraId="61B89FAD">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得分</w:t>
            </w:r>
          </w:p>
        </w:tc>
      </w:tr>
      <w:tr w14:paraId="36085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58" w:type="dxa"/>
            <w:vMerge w:val="restart"/>
            <w:tcBorders>
              <w:left w:val="nil"/>
              <w:tl2br w:val="nil"/>
              <w:tr2bl w:val="nil"/>
            </w:tcBorders>
            <w:noWrap w:val="0"/>
            <w:vAlign w:val="center"/>
          </w:tcPr>
          <w:p w14:paraId="249198C3">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产出</w:t>
            </w:r>
          </w:p>
        </w:tc>
        <w:tc>
          <w:tcPr>
            <w:tcW w:w="811" w:type="dxa"/>
            <w:vMerge w:val="restart"/>
            <w:tcBorders>
              <w:tl2br w:val="nil"/>
              <w:tr2bl w:val="nil"/>
            </w:tcBorders>
            <w:noWrap w:val="0"/>
            <w:vAlign w:val="center"/>
          </w:tcPr>
          <w:p w14:paraId="4D8C8BE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25</w:t>
            </w:r>
          </w:p>
        </w:tc>
        <w:tc>
          <w:tcPr>
            <w:tcW w:w="1677" w:type="dxa"/>
            <w:tcBorders>
              <w:tl2br w:val="nil"/>
              <w:tr2bl w:val="nil"/>
            </w:tcBorders>
            <w:noWrap w:val="0"/>
            <w:vAlign w:val="center"/>
          </w:tcPr>
          <w:p w14:paraId="61E8CF9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产出数量</w:t>
            </w:r>
          </w:p>
        </w:tc>
        <w:tc>
          <w:tcPr>
            <w:tcW w:w="2785" w:type="dxa"/>
            <w:tcBorders>
              <w:tl2br w:val="nil"/>
              <w:tr2bl w:val="nil"/>
            </w:tcBorders>
            <w:noWrap w:val="0"/>
            <w:vAlign w:val="center"/>
          </w:tcPr>
          <w:p w14:paraId="5237A73A">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项目数量目标完成情况</w:t>
            </w:r>
          </w:p>
        </w:tc>
        <w:tc>
          <w:tcPr>
            <w:tcW w:w="967" w:type="dxa"/>
            <w:tcBorders>
              <w:tl2br w:val="nil"/>
              <w:tr2bl w:val="nil"/>
            </w:tcBorders>
            <w:noWrap w:val="0"/>
            <w:vAlign w:val="center"/>
          </w:tcPr>
          <w:p w14:paraId="3E570B99">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183" w:type="dxa"/>
            <w:tcBorders>
              <w:right w:val="nil"/>
              <w:tl2br w:val="nil"/>
              <w:tr2bl w:val="nil"/>
            </w:tcBorders>
            <w:noWrap w:val="0"/>
            <w:vAlign w:val="center"/>
          </w:tcPr>
          <w:p w14:paraId="289F724D">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w:t>
            </w:r>
          </w:p>
        </w:tc>
      </w:tr>
      <w:tr w14:paraId="4CC34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258" w:type="dxa"/>
            <w:vMerge w:val="continue"/>
            <w:tcBorders>
              <w:left w:val="nil"/>
              <w:tl2br w:val="nil"/>
              <w:tr2bl w:val="nil"/>
            </w:tcBorders>
            <w:noWrap w:val="0"/>
            <w:vAlign w:val="center"/>
          </w:tcPr>
          <w:p w14:paraId="41A02D2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135E0FE6">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2C8AFDCE">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产出质量</w:t>
            </w:r>
          </w:p>
        </w:tc>
        <w:tc>
          <w:tcPr>
            <w:tcW w:w="2785" w:type="dxa"/>
            <w:tcBorders>
              <w:tl2br w:val="nil"/>
              <w:tr2bl w:val="nil"/>
            </w:tcBorders>
            <w:noWrap w:val="0"/>
            <w:vAlign w:val="center"/>
          </w:tcPr>
          <w:p w14:paraId="06EBD919">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项目质量目标完成情况</w:t>
            </w:r>
          </w:p>
        </w:tc>
        <w:tc>
          <w:tcPr>
            <w:tcW w:w="967" w:type="dxa"/>
            <w:tcBorders>
              <w:tl2br w:val="nil"/>
              <w:tr2bl w:val="nil"/>
            </w:tcBorders>
            <w:noWrap w:val="0"/>
            <w:vAlign w:val="center"/>
          </w:tcPr>
          <w:p w14:paraId="57DB9613">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10</w:t>
            </w:r>
          </w:p>
        </w:tc>
        <w:tc>
          <w:tcPr>
            <w:tcW w:w="1183" w:type="dxa"/>
            <w:tcBorders>
              <w:right w:val="nil"/>
              <w:tl2br w:val="nil"/>
              <w:tr2bl w:val="nil"/>
            </w:tcBorders>
            <w:noWrap w:val="0"/>
            <w:vAlign w:val="center"/>
          </w:tcPr>
          <w:p w14:paraId="76D5F7ED">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9</w:t>
            </w:r>
          </w:p>
        </w:tc>
      </w:tr>
      <w:tr w14:paraId="59DCA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58" w:type="dxa"/>
            <w:vMerge w:val="continue"/>
            <w:tcBorders>
              <w:left w:val="nil"/>
              <w:tl2br w:val="nil"/>
              <w:tr2bl w:val="nil"/>
            </w:tcBorders>
            <w:noWrap w:val="0"/>
            <w:vAlign w:val="center"/>
          </w:tcPr>
          <w:p w14:paraId="152A73F7">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811" w:type="dxa"/>
            <w:vMerge w:val="continue"/>
            <w:tcBorders>
              <w:tl2br w:val="nil"/>
              <w:tr2bl w:val="nil"/>
            </w:tcBorders>
            <w:noWrap w:val="0"/>
            <w:vAlign w:val="center"/>
          </w:tcPr>
          <w:p w14:paraId="7BBFE500">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仿宋_GB2312" w:hAnsi="仿宋_GB2312" w:eastAsia="仿宋_GB2312" w:cs="仿宋_GB2312"/>
                <w:color w:val="auto"/>
                <w:sz w:val="24"/>
                <w:szCs w:val="24"/>
                <w:highlight w:val="none"/>
              </w:rPr>
            </w:pPr>
          </w:p>
        </w:tc>
        <w:tc>
          <w:tcPr>
            <w:tcW w:w="1677" w:type="dxa"/>
            <w:tcBorders>
              <w:tl2br w:val="nil"/>
              <w:tr2bl w:val="nil"/>
            </w:tcBorders>
            <w:noWrap w:val="0"/>
            <w:vAlign w:val="center"/>
          </w:tcPr>
          <w:p w14:paraId="42F3BEC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color w:val="auto"/>
                <w:sz w:val="24"/>
                <w:szCs w:val="24"/>
                <w:highlight w:val="none"/>
              </w:rPr>
              <w:t>产出时效</w:t>
            </w:r>
          </w:p>
        </w:tc>
        <w:tc>
          <w:tcPr>
            <w:tcW w:w="2785" w:type="dxa"/>
            <w:tcBorders>
              <w:tl2br w:val="nil"/>
              <w:tr2bl w:val="nil"/>
            </w:tcBorders>
            <w:noWrap w:val="0"/>
            <w:vAlign w:val="center"/>
          </w:tcPr>
          <w:p w14:paraId="5D7E1BBB">
            <w:pPr>
              <w:keepNext w:val="0"/>
              <w:keepLines w:val="0"/>
              <w:widowControl/>
              <w:suppressLineNumbers w:val="0"/>
              <w:jc w:val="center"/>
              <w:textAlignment w:val="center"/>
              <w:rPr>
                <w:rFonts w:hint="eastAsia" w:ascii="仿宋_GB2312" w:hAnsi="仿宋_GB2312" w:eastAsia="仿宋_GB2312" w:cs="仿宋_GB2312"/>
                <w:b w:val="0"/>
                <w:bCs w:val="0"/>
                <w:color w:val="auto"/>
                <w:sz w:val="24"/>
                <w:szCs w:val="24"/>
                <w:highlight w:val="none"/>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项目按期完成情况</w:t>
            </w:r>
          </w:p>
        </w:tc>
        <w:tc>
          <w:tcPr>
            <w:tcW w:w="967" w:type="dxa"/>
            <w:tcBorders>
              <w:tl2br w:val="nil"/>
              <w:tr2bl w:val="nil"/>
            </w:tcBorders>
            <w:noWrap w:val="0"/>
            <w:vAlign w:val="center"/>
          </w:tcPr>
          <w:p w14:paraId="32686EAB">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5</w:t>
            </w:r>
          </w:p>
        </w:tc>
        <w:tc>
          <w:tcPr>
            <w:tcW w:w="1183" w:type="dxa"/>
            <w:tcBorders>
              <w:right w:val="nil"/>
              <w:tl2br w:val="nil"/>
              <w:tr2bl w:val="nil"/>
            </w:tcBorders>
            <w:noWrap w:val="0"/>
            <w:vAlign w:val="center"/>
          </w:tcPr>
          <w:p w14:paraId="626FD367">
            <w:pPr>
              <w:keepNext w:val="0"/>
              <w:keepLines w:val="0"/>
              <w:widowControl/>
              <w:suppressLineNumbers w:val="0"/>
              <w:jc w:val="center"/>
              <w:textAlignment w:val="center"/>
              <w:rPr>
                <w:rFonts w:hint="default" w:ascii="仿宋_GB2312" w:hAnsi="仿宋_GB2312" w:eastAsia="仿宋_GB2312" w:cs="仿宋_GB2312"/>
                <w:b w:val="0"/>
                <w:bCs w:val="0"/>
                <w:color w:val="auto"/>
                <w:sz w:val="24"/>
                <w:szCs w:val="24"/>
                <w:highlight w:val="none"/>
                <w:lang w:val="en-US" w:eastAsia="zh-CN"/>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r>
      <w:tr w14:paraId="69B24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4" w:hRule="atLeast"/>
        </w:trPr>
        <w:tc>
          <w:tcPr>
            <w:tcW w:w="1258" w:type="dxa"/>
            <w:tcBorders>
              <w:left w:val="nil"/>
              <w:tl2br w:val="nil"/>
              <w:tr2bl w:val="nil"/>
            </w:tcBorders>
            <w:noWrap w:val="0"/>
            <w:vAlign w:val="center"/>
          </w:tcPr>
          <w:p w14:paraId="7E61A1F2">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合计</w:t>
            </w:r>
          </w:p>
        </w:tc>
        <w:tc>
          <w:tcPr>
            <w:tcW w:w="811" w:type="dxa"/>
            <w:tcBorders>
              <w:tl2br w:val="nil"/>
              <w:tr2bl w:val="nil"/>
            </w:tcBorders>
            <w:noWrap w:val="0"/>
            <w:vAlign w:val="center"/>
          </w:tcPr>
          <w:p w14:paraId="2EA7CA6F">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677" w:type="dxa"/>
            <w:tcBorders>
              <w:tl2br w:val="nil"/>
              <w:tr2bl w:val="nil"/>
            </w:tcBorders>
            <w:noWrap w:val="0"/>
            <w:vAlign w:val="center"/>
          </w:tcPr>
          <w:p w14:paraId="3CB8E93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2785" w:type="dxa"/>
            <w:tcBorders>
              <w:tl2br w:val="nil"/>
              <w:tr2bl w:val="nil"/>
            </w:tcBorders>
            <w:noWrap w:val="0"/>
            <w:vAlign w:val="center"/>
          </w:tcPr>
          <w:p w14:paraId="0DE096B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color w:val="auto"/>
                <w:sz w:val="24"/>
                <w:szCs w:val="24"/>
                <w:highlight w:val="none"/>
              </w:rPr>
            </w:pPr>
            <w:r>
              <w:rPr>
                <w:rFonts w:hint="eastAsia" w:ascii="仿宋_GB2312" w:hAnsi="仿宋_GB2312" w:eastAsia="仿宋_GB2312" w:cs="仿宋_GB2312"/>
                <w:b/>
                <w:bCs/>
                <w:color w:val="auto"/>
                <w:sz w:val="24"/>
                <w:szCs w:val="24"/>
                <w:highlight w:val="none"/>
              </w:rPr>
              <w:t>—</w:t>
            </w:r>
          </w:p>
        </w:tc>
        <w:tc>
          <w:tcPr>
            <w:tcW w:w="967" w:type="dxa"/>
            <w:tcBorders>
              <w:tl2br w:val="nil"/>
              <w:tr2bl w:val="nil"/>
            </w:tcBorders>
            <w:noWrap w:val="0"/>
            <w:vAlign w:val="center"/>
          </w:tcPr>
          <w:p w14:paraId="60673D71">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25</w:t>
            </w:r>
          </w:p>
        </w:tc>
        <w:tc>
          <w:tcPr>
            <w:tcW w:w="1183" w:type="dxa"/>
            <w:tcBorders>
              <w:right w:val="nil"/>
              <w:tl2br w:val="nil"/>
              <w:tr2bl w:val="nil"/>
            </w:tcBorders>
            <w:noWrap w:val="0"/>
            <w:vAlign w:val="center"/>
          </w:tcPr>
          <w:p w14:paraId="03C4DF84">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仿宋_GB2312" w:hAnsi="仿宋_GB2312" w:eastAsia="仿宋_GB2312" w:cs="仿宋_GB2312"/>
                <w:b/>
                <w:bCs/>
                <w:color w:val="auto"/>
                <w:sz w:val="24"/>
                <w:szCs w:val="24"/>
                <w:highlight w:val="none"/>
                <w:lang w:val="en-US" w:eastAsia="zh-CN"/>
              </w:rPr>
            </w:pPr>
            <w:r>
              <w:rPr>
                <w:rFonts w:hint="eastAsia" w:ascii="仿宋_GB2312" w:hAnsi="仿宋_GB2312" w:eastAsia="仿宋_GB2312" w:cs="仿宋_GB2312"/>
                <w:b/>
                <w:bCs/>
                <w:color w:val="auto"/>
                <w:sz w:val="24"/>
                <w:szCs w:val="24"/>
                <w:highlight w:val="none"/>
                <w:lang w:val="en-US" w:eastAsia="zh-CN"/>
              </w:rPr>
              <w:t>22</w:t>
            </w:r>
          </w:p>
        </w:tc>
      </w:tr>
    </w:tbl>
    <w:p w14:paraId="75137E7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1.产出数量方面。从项目单位提供的相关资料及通过现场检查情况看，项目基本已全部完工，其产出数量目标任务完成较好。        </w:t>
      </w:r>
    </w:p>
    <w:p w14:paraId="1CC3C564">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2.产出质量方面。从项目单位提供的相关资料、现场查看及调查问卷等方面情况看，项目建设工程质量较好。</w:t>
      </w:r>
    </w:p>
    <w:p w14:paraId="7E69F64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3.产出时效方面。从项目单位提供的相关资料显示，项目时效性不强，项目计划实施期限为2023年10月-2024年4月，但实际实施期限为2023年10月-2025年3月，对施工效率产生了一定影响。</w:t>
      </w:r>
    </w:p>
    <w:p w14:paraId="63C4B9BC">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评价组认为，从项目产出方面看，项目产出数量较好，产出时效、质量仍存在一些不足。</w:t>
      </w:r>
    </w:p>
    <w:p w14:paraId="38289A71">
      <w:pPr>
        <w:pStyle w:val="10"/>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楷体" w:hAnsi="楷体" w:eastAsia="楷体" w:cs="楷体"/>
          <w:b/>
          <w:bCs/>
          <w:color w:val="auto"/>
          <w:kern w:val="2"/>
          <w:sz w:val="32"/>
          <w:szCs w:val="32"/>
          <w:highlight w:val="none"/>
          <w:lang w:val="en-US" w:eastAsia="zh-CN" w:bidi="ar-SA"/>
        </w:rPr>
      </w:pPr>
      <w:r>
        <w:rPr>
          <w:rFonts w:hint="eastAsia" w:ascii="楷体" w:hAnsi="楷体" w:eastAsia="楷体" w:cs="楷体"/>
          <w:b/>
          <w:bCs/>
          <w:color w:val="auto"/>
          <w:kern w:val="2"/>
          <w:sz w:val="32"/>
          <w:szCs w:val="32"/>
          <w:highlight w:val="none"/>
          <w:lang w:val="en-US" w:eastAsia="zh-CN" w:bidi="ar-SA"/>
        </w:rPr>
        <w:t>（五）项目效益情况</w:t>
      </w:r>
    </w:p>
    <w:p w14:paraId="29B2A58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lang w:val="en-US" w:eastAsia="zh-CN"/>
        </w:rPr>
      </w:pPr>
      <w:r>
        <w:rPr>
          <w:rFonts w:hint="eastAsia" w:ascii="仿宋_GB2312" w:hAnsi="仿宋_GB2312" w:eastAsia="仿宋_GB2312" w:cs="仿宋_GB2312"/>
          <w:color w:val="auto"/>
          <w:sz w:val="32"/>
          <w:szCs w:val="32"/>
          <w:highlight w:val="none"/>
          <w:lang w:val="en-US" w:eastAsia="zh-CN"/>
        </w:rPr>
        <w:t>项目效益通过社会效益、生态效益、可持续影响、受表彰情况、满意度五个方面进行评价。项目效益满分35分，得分29.2分。具体得分详见表12。</w:t>
      </w:r>
    </w:p>
    <w:p w14:paraId="2DD7BF8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6" w:firstLineChars="200"/>
        <w:jc w:val="center"/>
        <w:textAlignment w:val="auto"/>
        <w:rPr>
          <w:rFonts w:hint="eastAsia" w:ascii="仿宋" w:hAnsi="仿宋" w:eastAsia="仿宋" w:cs="仿宋"/>
          <w:b/>
          <w:bCs/>
          <w:kern w:val="2"/>
          <w:sz w:val="28"/>
          <w:szCs w:val="28"/>
          <w:highlight w:val="none"/>
          <w:lang w:val="en-US" w:eastAsia="zh-CN" w:bidi="ar-SA"/>
        </w:rPr>
      </w:pPr>
      <w:r>
        <w:rPr>
          <w:rFonts w:hint="eastAsia" w:ascii="仿宋" w:hAnsi="仿宋" w:eastAsia="仿宋" w:cs="仿宋"/>
          <w:b/>
          <w:bCs/>
          <w:kern w:val="2"/>
          <w:sz w:val="28"/>
          <w:szCs w:val="28"/>
          <w:highlight w:val="none"/>
          <w:lang w:val="en-US" w:eastAsia="zh-CN" w:bidi="ar-SA"/>
        </w:rPr>
        <w:t>表12   项目效益绩效指标分析表</w:t>
      </w:r>
    </w:p>
    <w:tbl>
      <w:tblPr>
        <w:tblStyle w:val="15"/>
        <w:tblpPr w:leftFromText="181" w:rightFromText="181" w:vertAnchor="text" w:horzAnchor="page" w:tblpX="1946" w:tblpY="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8"/>
        <w:gridCol w:w="587"/>
        <w:gridCol w:w="1444"/>
        <w:gridCol w:w="4133"/>
        <w:gridCol w:w="724"/>
        <w:gridCol w:w="846"/>
      </w:tblGrid>
      <w:tr w14:paraId="3FC7D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exact"/>
          <w:tblHeader/>
        </w:trPr>
        <w:tc>
          <w:tcPr>
            <w:tcW w:w="848" w:type="dxa"/>
            <w:tcBorders>
              <w:top w:val="single" w:color="000000" w:sz="4" w:space="0"/>
              <w:bottom w:val="single" w:color="000000" w:sz="4" w:space="0"/>
              <w:right w:val="single" w:color="000000" w:sz="4" w:space="0"/>
            </w:tcBorders>
            <w:shd w:val="clear" w:color="auto" w:fill="D7D7D7" w:themeFill="background1" w:themeFillShade="D8"/>
            <w:noWrap w:val="0"/>
            <w:vAlign w:val="center"/>
          </w:tcPr>
          <w:p w14:paraId="64D803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一级</w:t>
            </w:r>
          </w:p>
          <w:p w14:paraId="6B30FC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指标</w:t>
            </w:r>
          </w:p>
        </w:tc>
        <w:tc>
          <w:tcPr>
            <w:tcW w:w="587"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5CF271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分值</w:t>
            </w:r>
          </w:p>
        </w:tc>
        <w:tc>
          <w:tcPr>
            <w:tcW w:w="1444"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38A8A1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二级指标</w:t>
            </w:r>
          </w:p>
        </w:tc>
        <w:tc>
          <w:tcPr>
            <w:tcW w:w="413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574FD19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三级指标</w:t>
            </w:r>
          </w:p>
        </w:tc>
        <w:tc>
          <w:tcPr>
            <w:tcW w:w="724" w:type="dxa"/>
            <w:tcBorders>
              <w:top w:val="single" w:color="000000" w:sz="4" w:space="0"/>
              <w:left w:val="single" w:color="000000" w:sz="4" w:space="0"/>
              <w:bottom w:val="single" w:color="000000" w:sz="4" w:space="0"/>
              <w:right w:val="single" w:color="auto" w:sz="4" w:space="0"/>
            </w:tcBorders>
            <w:shd w:val="clear" w:color="auto" w:fill="D7D7D7" w:themeFill="background1" w:themeFillShade="D8"/>
            <w:noWrap w:val="0"/>
            <w:vAlign w:val="center"/>
          </w:tcPr>
          <w:p w14:paraId="11F1C64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分值</w:t>
            </w:r>
          </w:p>
        </w:tc>
        <w:tc>
          <w:tcPr>
            <w:tcW w:w="846" w:type="dxa"/>
            <w:tcBorders>
              <w:top w:val="single" w:color="000000" w:sz="4" w:space="0"/>
              <w:left w:val="single" w:color="000000" w:sz="4" w:space="0"/>
              <w:bottom w:val="single" w:color="000000" w:sz="4" w:space="0"/>
            </w:tcBorders>
            <w:shd w:val="clear" w:color="auto" w:fill="D7D7D7" w:themeFill="background1" w:themeFillShade="D8"/>
            <w:noWrap w:val="0"/>
            <w:vAlign w:val="center"/>
          </w:tcPr>
          <w:p w14:paraId="1932A35B">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color w:val="auto"/>
                <w:sz w:val="24"/>
                <w:szCs w:val="24"/>
                <w:highlight w:val="none"/>
                <w:lang w:val="en-US" w:eastAsia="zh-CN"/>
              </w:rPr>
              <w:t>得分</w:t>
            </w:r>
          </w:p>
        </w:tc>
      </w:tr>
      <w:tr w14:paraId="7FFB89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6" w:hRule="exact"/>
        </w:trPr>
        <w:tc>
          <w:tcPr>
            <w:tcW w:w="848" w:type="dxa"/>
            <w:vMerge w:val="restart"/>
            <w:tcBorders>
              <w:top w:val="single" w:color="000000" w:sz="4" w:space="0"/>
              <w:bottom w:val="single" w:color="auto" w:sz="4" w:space="0"/>
              <w:right w:val="single" w:color="000000" w:sz="4" w:space="0"/>
            </w:tcBorders>
            <w:shd w:val="clear" w:color="auto" w:fill="auto"/>
            <w:noWrap w:val="0"/>
            <w:vAlign w:val="center"/>
          </w:tcPr>
          <w:p w14:paraId="06BD6212">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lang w:val="en-US" w:eastAsia="zh-CN"/>
              </w:rPr>
            </w:pPr>
            <w:r>
              <w:rPr>
                <w:rFonts w:hint="eastAsia" w:ascii="仿宋_GB2312" w:hAnsi="仿宋_GB2312" w:eastAsia="仿宋_GB2312" w:cs="仿宋_GB2312"/>
                <w:b w:val="0"/>
                <w:bCs w:val="0"/>
                <w:i w:val="0"/>
                <w:iCs w:val="0"/>
                <w:color w:val="auto"/>
                <w:sz w:val="24"/>
                <w:szCs w:val="24"/>
                <w:highlight w:val="none"/>
                <w:u w:val="none"/>
                <w:lang w:val="en-US" w:eastAsia="zh-CN"/>
              </w:rPr>
              <w:t>效益</w:t>
            </w:r>
          </w:p>
        </w:tc>
        <w:tc>
          <w:tcPr>
            <w:tcW w:w="587" w:type="dxa"/>
            <w:vMerge w:val="restart"/>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3A04E22B">
            <w:pPr>
              <w:keepNext w:val="0"/>
              <w:keepLines w:val="0"/>
              <w:pageBreakBefore w:val="0"/>
              <w:kinsoku/>
              <w:wordWrap/>
              <w:overflowPunct/>
              <w:topLinePunct w:val="0"/>
              <w:autoSpaceDE/>
              <w:autoSpaceDN/>
              <w:bidi w:val="0"/>
              <w:adjustRightInd/>
              <w:snapToGrid/>
              <w:spacing w:line="260" w:lineRule="exact"/>
              <w:jc w:val="center"/>
              <w:rPr>
                <w:rFonts w:hint="default" w:ascii="仿宋_GB2312" w:hAnsi="仿宋_GB2312" w:eastAsia="仿宋_GB2312" w:cs="仿宋_GB2312"/>
                <w:b w:val="0"/>
                <w:bCs w:val="0"/>
                <w:i w:val="0"/>
                <w:iCs w:val="0"/>
                <w:color w:val="auto"/>
                <w:sz w:val="24"/>
                <w:szCs w:val="24"/>
                <w:highlight w:val="none"/>
                <w:u w:val="none"/>
                <w:lang w:val="en-US" w:eastAsia="zh-CN"/>
              </w:rPr>
            </w:pPr>
            <w:r>
              <w:rPr>
                <w:rFonts w:hint="eastAsia" w:ascii="仿宋_GB2312" w:hAnsi="仿宋_GB2312" w:eastAsia="仿宋_GB2312" w:cs="仿宋_GB2312"/>
                <w:b w:val="0"/>
                <w:bCs w:val="0"/>
                <w:i w:val="0"/>
                <w:iCs w:val="0"/>
                <w:color w:val="auto"/>
                <w:sz w:val="24"/>
                <w:szCs w:val="24"/>
                <w:highlight w:val="none"/>
                <w:u w:val="none"/>
                <w:lang w:val="en-US" w:eastAsia="zh-CN"/>
              </w:rPr>
              <w:t>35</w:t>
            </w:r>
          </w:p>
        </w:tc>
        <w:tc>
          <w:tcPr>
            <w:tcW w:w="1444" w:type="dxa"/>
            <w:vMerge w:val="restart"/>
            <w:tcBorders>
              <w:top w:val="single" w:color="000000" w:sz="4" w:space="0"/>
              <w:left w:val="single" w:color="000000" w:sz="4" w:space="0"/>
              <w:bottom w:val="single" w:color="auto" w:sz="4" w:space="0"/>
              <w:right w:val="single" w:color="000000" w:sz="4" w:space="0"/>
            </w:tcBorders>
            <w:shd w:val="clear" w:color="auto" w:fill="auto"/>
            <w:noWrap w:val="0"/>
            <w:vAlign w:val="center"/>
          </w:tcPr>
          <w:p w14:paraId="4F6C887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社会效益</w:t>
            </w: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DBD60D">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改善受灾群众居住条件情况</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4DAC93">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846" w:type="dxa"/>
            <w:tcBorders>
              <w:top w:val="single" w:color="000000" w:sz="4" w:space="0"/>
              <w:left w:val="single" w:color="000000" w:sz="4" w:space="0"/>
              <w:bottom w:val="single" w:color="000000" w:sz="4" w:space="0"/>
            </w:tcBorders>
            <w:shd w:val="clear" w:color="auto" w:fill="auto"/>
            <w:noWrap/>
            <w:vAlign w:val="center"/>
          </w:tcPr>
          <w:p w14:paraId="0ACE394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752F1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6" w:hRule="exact"/>
        </w:trPr>
        <w:tc>
          <w:tcPr>
            <w:tcW w:w="848" w:type="dxa"/>
            <w:vMerge w:val="continue"/>
            <w:tcBorders>
              <w:top w:val="single" w:color="auto" w:sz="4" w:space="0"/>
              <w:bottom w:val="single" w:color="auto" w:sz="4" w:space="0"/>
              <w:right w:val="single" w:color="000000" w:sz="4" w:space="0"/>
            </w:tcBorders>
            <w:shd w:val="clear" w:color="auto" w:fill="auto"/>
            <w:noWrap w:val="0"/>
            <w:vAlign w:val="center"/>
          </w:tcPr>
          <w:p w14:paraId="5793A2E2">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1CDD8851">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7C1E830C">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796F4D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保障沿岸农户生命财产安全情况</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B74D1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846" w:type="dxa"/>
            <w:tcBorders>
              <w:top w:val="single" w:color="000000" w:sz="4" w:space="0"/>
              <w:left w:val="single" w:color="000000" w:sz="4" w:space="0"/>
              <w:bottom w:val="single" w:color="000000" w:sz="4" w:space="0"/>
            </w:tcBorders>
            <w:shd w:val="clear" w:color="auto" w:fill="auto"/>
            <w:noWrap/>
            <w:vAlign w:val="center"/>
          </w:tcPr>
          <w:p w14:paraId="6D47AC8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3E969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exact"/>
        </w:trPr>
        <w:tc>
          <w:tcPr>
            <w:tcW w:w="848" w:type="dxa"/>
            <w:vMerge w:val="continue"/>
            <w:tcBorders>
              <w:top w:val="single" w:color="auto" w:sz="4" w:space="0"/>
              <w:bottom w:val="single" w:color="auto" w:sz="4" w:space="0"/>
              <w:right w:val="single" w:color="000000" w:sz="4" w:space="0"/>
            </w:tcBorders>
            <w:shd w:val="clear" w:color="auto" w:fill="auto"/>
            <w:noWrap w:val="0"/>
            <w:vAlign w:val="center"/>
          </w:tcPr>
          <w:p w14:paraId="4949AE0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0E6A9533">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vMerge w:val="continue"/>
            <w:tcBorders>
              <w:top w:val="single" w:color="auto" w:sz="4" w:space="0"/>
              <w:left w:val="single" w:color="000000" w:sz="4" w:space="0"/>
              <w:bottom w:val="single" w:color="auto" w:sz="4" w:space="0"/>
              <w:right w:val="single" w:color="000000" w:sz="4" w:space="0"/>
            </w:tcBorders>
            <w:shd w:val="clear" w:color="auto" w:fill="auto"/>
            <w:noWrap w:val="0"/>
            <w:vAlign w:val="center"/>
          </w:tcPr>
          <w:p w14:paraId="6CBBA068">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7C2340">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改善当地的投资环境作用情况</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C41BD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4"/>
                <w:szCs w:val="24"/>
                <w:highlight w:val="none"/>
                <w:u w:val="none"/>
                <w:lang w:val="en-US" w:eastAsia="zh-CN" w:bidi="ar"/>
              </w:rPr>
            </w:pPr>
            <w:r>
              <w:rPr>
                <w:rFonts w:hint="eastAsia" w:ascii="仿宋_GB2312" w:hAnsi="仿宋_GB2312" w:eastAsia="仿宋_GB2312" w:cs="仿宋_GB2312"/>
                <w:b w:val="0"/>
                <w:bCs w:val="0"/>
                <w:i w:val="0"/>
                <w:iCs w:val="0"/>
                <w:color w:val="000000"/>
                <w:kern w:val="0"/>
                <w:sz w:val="24"/>
                <w:szCs w:val="24"/>
                <w:highlight w:val="none"/>
                <w:u w:val="none"/>
                <w:lang w:val="en-US" w:eastAsia="zh-CN" w:bidi="ar"/>
              </w:rPr>
              <w:t>4</w:t>
            </w:r>
          </w:p>
        </w:tc>
        <w:tc>
          <w:tcPr>
            <w:tcW w:w="846" w:type="dxa"/>
            <w:tcBorders>
              <w:top w:val="single" w:color="000000" w:sz="4" w:space="0"/>
              <w:left w:val="single" w:color="000000" w:sz="4" w:space="0"/>
              <w:bottom w:val="single" w:color="000000" w:sz="4" w:space="0"/>
            </w:tcBorders>
            <w:shd w:val="clear" w:color="auto" w:fill="auto"/>
            <w:noWrap/>
            <w:vAlign w:val="center"/>
          </w:tcPr>
          <w:p w14:paraId="7EEC80F9">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w:t>
            </w:r>
          </w:p>
        </w:tc>
      </w:tr>
      <w:tr w14:paraId="5CC2C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exact"/>
        </w:trPr>
        <w:tc>
          <w:tcPr>
            <w:tcW w:w="848" w:type="dxa"/>
            <w:vMerge w:val="continue"/>
            <w:tcBorders>
              <w:top w:val="single" w:color="auto" w:sz="4" w:space="0"/>
              <w:bottom w:val="single" w:color="000000" w:sz="4" w:space="0"/>
              <w:right w:val="single" w:color="000000" w:sz="4" w:space="0"/>
            </w:tcBorders>
            <w:shd w:val="clear" w:color="auto" w:fill="auto"/>
            <w:noWrap w:val="0"/>
            <w:vAlign w:val="center"/>
          </w:tcPr>
          <w:p w14:paraId="4845DB5D">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75AD4FD1">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auto" w:sz="4" w:space="0"/>
              <w:left w:val="single" w:color="000000" w:sz="4" w:space="0"/>
              <w:bottom w:val="single" w:color="000000" w:sz="4" w:space="0"/>
              <w:right w:val="single" w:color="000000" w:sz="4" w:space="0"/>
            </w:tcBorders>
            <w:shd w:val="clear" w:color="auto" w:fill="auto"/>
            <w:noWrap w:val="0"/>
            <w:vAlign w:val="center"/>
          </w:tcPr>
          <w:p w14:paraId="23DF8E4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lang w:val="en-US"/>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生态效益</w:t>
            </w: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E601D9">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生态环境方面的作用情况</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C70990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5</w:t>
            </w:r>
          </w:p>
        </w:tc>
        <w:tc>
          <w:tcPr>
            <w:tcW w:w="846" w:type="dxa"/>
            <w:tcBorders>
              <w:top w:val="single" w:color="000000" w:sz="4" w:space="0"/>
              <w:left w:val="single" w:color="000000" w:sz="4" w:space="0"/>
              <w:bottom w:val="single" w:color="000000" w:sz="4" w:space="0"/>
            </w:tcBorders>
            <w:shd w:val="clear" w:color="auto" w:fill="auto"/>
            <w:noWrap/>
            <w:vAlign w:val="center"/>
          </w:tcPr>
          <w:p w14:paraId="3703349C">
            <w:pPr>
              <w:keepNext w:val="0"/>
              <w:keepLines w:val="0"/>
              <w:widowControl/>
              <w:suppressLineNumbers w:val="0"/>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4.5</w:t>
            </w:r>
          </w:p>
        </w:tc>
      </w:tr>
      <w:tr w14:paraId="51091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3630C61F">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21CD46">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CBBAAE">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可持续影响</w:t>
            </w: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2BE0F8B">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项目长效运管及可持续发展情况</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C874E7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color w:val="auto"/>
                <w:sz w:val="24"/>
                <w:szCs w:val="24"/>
                <w:highlight w:val="none"/>
                <w:lang w:val="en-US" w:eastAsia="zh-CN"/>
              </w:rPr>
              <w:t>5</w:t>
            </w:r>
          </w:p>
        </w:tc>
        <w:tc>
          <w:tcPr>
            <w:tcW w:w="846" w:type="dxa"/>
            <w:tcBorders>
              <w:top w:val="single" w:color="000000" w:sz="4" w:space="0"/>
              <w:left w:val="single" w:color="000000" w:sz="4" w:space="0"/>
              <w:bottom w:val="single" w:color="000000" w:sz="4" w:space="0"/>
            </w:tcBorders>
            <w:shd w:val="clear" w:color="auto" w:fill="auto"/>
            <w:noWrap/>
            <w:vAlign w:val="center"/>
          </w:tcPr>
          <w:p w14:paraId="3323A08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3</w:t>
            </w:r>
          </w:p>
        </w:tc>
      </w:tr>
      <w:tr w14:paraId="0F291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63800FAF">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99FD78">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FFB1CA8">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lang w:val="en-US" w:eastAsia="zh-CN"/>
              </w:rPr>
            </w:pPr>
            <w:r>
              <w:rPr>
                <w:rFonts w:hint="eastAsia" w:ascii="仿宋_GB2312" w:hAnsi="仿宋_GB2312" w:eastAsia="仿宋_GB2312" w:cs="仿宋_GB2312"/>
                <w:b w:val="0"/>
                <w:bCs w:val="0"/>
                <w:i w:val="0"/>
                <w:iCs w:val="0"/>
                <w:color w:val="auto"/>
                <w:sz w:val="24"/>
                <w:szCs w:val="24"/>
                <w:highlight w:val="none"/>
                <w:u w:val="none"/>
                <w:lang w:val="en-US" w:eastAsia="zh-CN"/>
              </w:rPr>
              <w:t>受表彰情况</w:t>
            </w: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C8F9E7">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相关工作是否受到市级以上表彰奖励</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A1E297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3</w:t>
            </w:r>
          </w:p>
        </w:tc>
        <w:tc>
          <w:tcPr>
            <w:tcW w:w="846" w:type="dxa"/>
            <w:tcBorders>
              <w:top w:val="single" w:color="000000" w:sz="4" w:space="0"/>
              <w:left w:val="single" w:color="000000" w:sz="4" w:space="0"/>
              <w:bottom w:val="single" w:color="000000" w:sz="4" w:space="0"/>
            </w:tcBorders>
            <w:shd w:val="clear" w:color="auto" w:fill="auto"/>
            <w:noWrap/>
            <w:vAlign w:val="center"/>
          </w:tcPr>
          <w:p w14:paraId="150BB58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0</w:t>
            </w:r>
          </w:p>
        </w:tc>
      </w:tr>
      <w:tr w14:paraId="742FA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3" w:hRule="exact"/>
        </w:trPr>
        <w:tc>
          <w:tcPr>
            <w:tcW w:w="848" w:type="dxa"/>
            <w:vMerge w:val="continue"/>
            <w:tcBorders>
              <w:top w:val="single" w:color="000000" w:sz="4" w:space="0"/>
              <w:bottom w:val="single" w:color="000000" w:sz="4" w:space="0"/>
              <w:right w:val="single" w:color="000000" w:sz="4" w:space="0"/>
            </w:tcBorders>
            <w:shd w:val="clear" w:color="auto" w:fill="auto"/>
            <w:noWrap w:val="0"/>
            <w:vAlign w:val="center"/>
          </w:tcPr>
          <w:p w14:paraId="66F70DAE">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58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4BE0C8">
            <w:pPr>
              <w:keepNext w:val="0"/>
              <w:keepLines w:val="0"/>
              <w:pageBreakBefore w:val="0"/>
              <w:kinsoku/>
              <w:wordWrap/>
              <w:overflowPunct/>
              <w:topLinePunct w:val="0"/>
              <w:autoSpaceDE/>
              <w:autoSpaceDN/>
              <w:bidi w:val="0"/>
              <w:adjustRightInd/>
              <w:snapToGrid/>
              <w:spacing w:line="260" w:lineRule="exact"/>
              <w:jc w:val="center"/>
              <w:rPr>
                <w:rFonts w:hint="eastAsia" w:ascii="仿宋_GB2312" w:hAnsi="仿宋_GB2312" w:eastAsia="仿宋_GB2312" w:cs="仿宋_GB2312"/>
                <w:b w:val="0"/>
                <w:bCs w:val="0"/>
                <w:i w:val="0"/>
                <w:iCs w:val="0"/>
                <w:color w:val="auto"/>
                <w:sz w:val="24"/>
                <w:szCs w:val="24"/>
                <w:highlight w:val="none"/>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52A283">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满意度</w:t>
            </w: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314D0DB">
            <w:pPr>
              <w:keepNext w:val="0"/>
              <w:keepLines w:val="0"/>
              <w:widowControl/>
              <w:suppressLineNumbers w:val="0"/>
              <w:jc w:val="center"/>
              <w:textAlignment w:val="center"/>
              <w:rPr>
                <w:rFonts w:hint="eastAsia" w:ascii="仿宋_GB2312" w:hAnsi="仿宋_GB2312" w:eastAsia="仿宋_GB2312" w:cs="仿宋_GB2312"/>
                <w:b w:val="0"/>
                <w:bCs w:val="0"/>
                <w:color w:val="auto"/>
                <w:kern w:val="2"/>
                <w:sz w:val="24"/>
                <w:szCs w:val="24"/>
                <w:highlight w:val="none"/>
                <w:vertAlign w:val="baseline"/>
                <w:lang w:val="en-US" w:eastAsia="zh-CN" w:bidi="ar-SA"/>
              </w:rPr>
            </w:pPr>
            <w:r>
              <w:rPr>
                <w:rFonts w:hint="eastAsia" w:ascii="仿宋_GB2312" w:hAnsi="仿宋_GB2312" w:eastAsia="仿宋_GB2312" w:cs="仿宋_GB2312"/>
                <w:b w:val="0"/>
                <w:bCs w:val="0"/>
                <w:color w:val="auto"/>
                <w:kern w:val="2"/>
                <w:sz w:val="24"/>
                <w:szCs w:val="24"/>
                <w:highlight w:val="none"/>
                <w:vertAlign w:val="baseline"/>
                <w:lang w:val="en-US" w:eastAsia="zh-CN" w:bidi="ar-SA"/>
              </w:rPr>
              <w:t>服务对象满意程度</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E9BCC06">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sz w:val="24"/>
                <w:szCs w:val="24"/>
                <w:highlight w:val="none"/>
                <w:u w:val="none"/>
              </w:rPr>
            </w:pPr>
            <w:r>
              <w:rPr>
                <w:rFonts w:hint="eastAsia" w:ascii="仿宋_GB2312" w:hAnsi="仿宋_GB2312" w:eastAsia="仿宋_GB2312" w:cs="仿宋_GB2312"/>
                <w:b w:val="0"/>
                <w:bCs w:val="0"/>
                <w:color w:val="auto"/>
                <w:sz w:val="24"/>
                <w:szCs w:val="24"/>
                <w:highlight w:val="none"/>
                <w:lang w:val="en-US" w:eastAsia="zh-CN"/>
              </w:rPr>
              <w:t>10</w:t>
            </w:r>
          </w:p>
        </w:tc>
        <w:tc>
          <w:tcPr>
            <w:tcW w:w="846" w:type="dxa"/>
            <w:tcBorders>
              <w:top w:val="single" w:color="000000" w:sz="4" w:space="0"/>
              <w:left w:val="single" w:color="000000" w:sz="4" w:space="0"/>
              <w:bottom w:val="single" w:color="000000" w:sz="4" w:space="0"/>
            </w:tcBorders>
            <w:shd w:val="clear" w:color="auto" w:fill="auto"/>
            <w:noWrap/>
            <w:vAlign w:val="center"/>
          </w:tcPr>
          <w:p w14:paraId="3F4F95F7">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val="0"/>
                <w:bCs w:val="0"/>
                <w:i w:val="0"/>
                <w:iCs w:val="0"/>
                <w:color w:val="auto"/>
                <w:kern w:val="0"/>
                <w:sz w:val="24"/>
                <w:szCs w:val="24"/>
                <w:highlight w:val="none"/>
                <w:u w:val="none"/>
                <w:lang w:val="en-US" w:eastAsia="zh-CN" w:bidi="ar"/>
              </w:rPr>
            </w:pPr>
            <w:r>
              <w:rPr>
                <w:rFonts w:hint="eastAsia" w:ascii="仿宋_GB2312" w:hAnsi="仿宋_GB2312" w:eastAsia="仿宋_GB2312" w:cs="仿宋_GB2312"/>
                <w:b w:val="0"/>
                <w:bCs w:val="0"/>
                <w:i w:val="0"/>
                <w:iCs w:val="0"/>
                <w:color w:val="auto"/>
                <w:kern w:val="0"/>
                <w:sz w:val="24"/>
                <w:szCs w:val="24"/>
                <w:highlight w:val="none"/>
                <w:u w:val="none"/>
                <w:lang w:val="en-US" w:eastAsia="zh-CN" w:bidi="ar"/>
              </w:rPr>
              <w:t>9.7</w:t>
            </w:r>
          </w:p>
        </w:tc>
      </w:tr>
      <w:tr w14:paraId="60E2A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exact"/>
        </w:trPr>
        <w:tc>
          <w:tcPr>
            <w:tcW w:w="848" w:type="dxa"/>
            <w:tcBorders>
              <w:top w:val="single" w:color="000000" w:sz="4" w:space="0"/>
              <w:bottom w:val="single" w:color="000000" w:sz="4" w:space="0"/>
              <w:right w:val="single" w:color="000000" w:sz="4" w:space="0"/>
            </w:tcBorders>
            <w:shd w:val="clear" w:color="auto" w:fill="auto"/>
            <w:noWrap w:val="0"/>
            <w:vAlign w:val="center"/>
          </w:tcPr>
          <w:p w14:paraId="44326ACB">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i w:val="0"/>
                <w:iCs w:val="0"/>
                <w:color w:val="auto"/>
                <w:kern w:val="0"/>
                <w:sz w:val="24"/>
                <w:szCs w:val="24"/>
                <w:highlight w:val="none"/>
                <w:u w:val="none"/>
                <w:lang w:val="en-US" w:eastAsia="zh-CN" w:bidi="ar"/>
              </w:rPr>
              <w:t>合计</w:t>
            </w:r>
          </w:p>
        </w:tc>
        <w:tc>
          <w:tcPr>
            <w:tcW w:w="587"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D72E065">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t>35</w:t>
            </w:r>
          </w:p>
        </w:tc>
        <w:tc>
          <w:tcPr>
            <w:tcW w:w="144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E1BE">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仿宋_GB2312" w:cs="仿宋_GB2312"/>
                <w:b/>
                <w:bCs/>
                <w:i w:val="0"/>
                <w:iCs w:val="0"/>
                <w:color w:val="auto"/>
                <w:sz w:val="24"/>
                <w:szCs w:val="24"/>
                <w:highlight w:val="none"/>
                <w:u w:val="none"/>
              </w:rPr>
            </w:pPr>
            <w:r>
              <w:rPr>
                <w:rFonts w:hint="eastAsia" w:ascii="仿宋_GB2312" w:hAnsi="仿宋_GB2312" w:eastAsia="仿宋_GB2312" w:cs="仿宋_GB2312"/>
                <w:b/>
                <w:bCs/>
                <w:color w:val="auto"/>
                <w:sz w:val="24"/>
                <w:szCs w:val="24"/>
                <w:highlight w:val="none"/>
              </w:rPr>
              <w:t>—</w:t>
            </w:r>
          </w:p>
        </w:tc>
        <w:tc>
          <w:tcPr>
            <w:tcW w:w="413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9971F89">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eastAsia" w:ascii="仿宋_GB2312" w:hAnsi="仿宋_GB2312" w:eastAsia="宋体" w:cs="仿宋_GB2312"/>
                <w:b/>
                <w:bCs/>
                <w:i w:val="0"/>
                <w:iCs w:val="0"/>
                <w:color w:val="auto"/>
                <w:sz w:val="24"/>
                <w:szCs w:val="24"/>
                <w:highlight w:val="none"/>
                <w:u w:val="none"/>
                <w:lang w:val="en-US" w:eastAsia="zh-CN"/>
              </w:rPr>
            </w:pPr>
            <w:r>
              <w:rPr>
                <w:rFonts w:hint="eastAsia" w:ascii="仿宋_GB2312" w:hAnsi="仿宋_GB2312" w:eastAsia="仿宋_GB2312" w:cs="仿宋_GB2312"/>
                <w:b/>
                <w:bCs/>
                <w:color w:val="auto"/>
                <w:sz w:val="24"/>
                <w:szCs w:val="24"/>
                <w:highlight w:val="none"/>
              </w:rPr>
              <w:t>—</w:t>
            </w:r>
          </w:p>
        </w:tc>
        <w:tc>
          <w:tcPr>
            <w:tcW w:w="72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49471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bCs/>
                <w:i w:val="0"/>
                <w:iCs w:val="0"/>
                <w:color w:val="auto"/>
                <w:sz w:val="24"/>
                <w:szCs w:val="24"/>
                <w:highlight w:val="none"/>
                <w:u w:val="none"/>
                <w:lang w:val="en-US" w:eastAsia="zh-CN"/>
              </w:rPr>
            </w:pPr>
            <w:r>
              <w:rPr>
                <w:rFonts w:hint="eastAsia" w:ascii="仿宋_GB2312" w:hAnsi="仿宋_GB2312" w:eastAsia="仿宋_GB2312" w:cs="仿宋_GB2312"/>
                <w:b/>
                <w:bCs/>
                <w:i w:val="0"/>
                <w:iCs w:val="0"/>
                <w:color w:val="auto"/>
                <w:sz w:val="24"/>
                <w:szCs w:val="24"/>
                <w:highlight w:val="none"/>
                <w:u w:val="none"/>
                <w:lang w:val="en-US" w:eastAsia="zh-CN"/>
              </w:rPr>
              <w:fldChar w:fldCharType="begin"/>
            </w:r>
            <w:r>
              <w:rPr>
                <w:rFonts w:hint="eastAsia" w:ascii="仿宋_GB2312" w:hAnsi="仿宋_GB2312" w:eastAsia="仿宋_GB2312" w:cs="仿宋_GB2312"/>
                <w:b/>
                <w:bCs/>
                <w:i w:val="0"/>
                <w:iCs w:val="0"/>
                <w:color w:val="auto"/>
                <w:sz w:val="24"/>
                <w:szCs w:val="24"/>
                <w:highlight w:val="none"/>
                <w:u w:val="none"/>
                <w:lang w:val="en-US" w:eastAsia="zh-CN"/>
              </w:rPr>
              <w:instrText xml:space="preserve"> = sum(E2:E9) \* MERGEFORMAT </w:instrText>
            </w:r>
            <w:r>
              <w:rPr>
                <w:rFonts w:hint="eastAsia" w:ascii="仿宋_GB2312" w:hAnsi="仿宋_GB2312" w:eastAsia="仿宋_GB2312" w:cs="仿宋_GB2312"/>
                <w:b/>
                <w:bCs/>
                <w:i w:val="0"/>
                <w:iCs w:val="0"/>
                <w:color w:val="auto"/>
                <w:sz w:val="24"/>
                <w:szCs w:val="24"/>
                <w:highlight w:val="none"/>
                <w:u w:val="none"/>
                <w:lang w:val="en-US" w:eastAsia="zh-CN"/>
              </w:rPr>
              <w:fldChar w:fldCharType="separate"/>
            </w:r>
            <w:r>
              <w:rPr>
                <w:rFonts w:hint="eastAsia" w:ascii="仿宋_GB2312" w:hAnsi="仿宋_GB2312" w:eastAsia="仿宋_GB2312" w:cs="仿宋_GB2312"/>
                <w:b/>
                <w:bCs/>
                <w:i w:val="0"/>
                <w:iCs w:val="0"/>
                <w:color w:val="auto"/>
                <w:sz w:val="24"/>
                <w:szCs w:val="24"/>
                <w:highlight w:val="none"/>
                <w:u w:val="none"/>
                <w:lang w:val="en-US" w:eastAsia="zh-CN"/>
              </w:rPr>
              <w:t>35</w:t>
            </w:r>
            <w:r>
              <w:rPr>
                <w:rFonts w:hint="eastAsia" w:ascii="仿宋_GB2312" w:hAnsi="仿宋_GB2312" w:eastAsia="仿宋_GB2312" w:cs="仿宋_GB2312"/>
                <w:b/>
                <w:bCs/>
                <w:i w:val="0"/>
                <w:iCs w:val="0"/>
                <w:color w:val="auto"/>
                <w:sz w:val="24"/>
                <w:szCs w:val="24"/>
                <w:highlight w:val="none"/>
                <w:u w:val="none"/>
                <w:lang w:val="en-US" w:eastAsia="zh-CN"/>
              </w:rPr>
              <w:fldChar w:fldCharType="end"/>
            </w:r>
          </w:p>
        </w:tc>
        <w:tc>
          <w:tcPr>
            <w:tcW w:w="846" w:type="dxa"/>
            <w:tcBorders>
              <w:top w:val="single" w:color="000000" w:sz="4" w:space="0"/>
              <w:left w:val="single" w:color="000000" w:sz="4" w:space="0"/>
              <w:bottom w:val="single" w:color="000000" w:sz="4" w:space="0"/>
            </w:tcBorders>
            <w:shd w:val="clear" w:color="auto" w:fill="auto"/>
            <w:noWrap w:val="0"/>
            <w:vAlign w:val="center"/>
          </w:tcPr>
          <w:p w14:paraId="4D8E7B0F">
            <w:pPr>
              <w:keepNext w:val="0"/>
              <w:keepLines w:val="0"/>
              <w:pageBreakBefore w:val="0"/>
              <w:widowControl/>
              <w:suppressLineNumbers w:val="0"/>
              <w:kinsoku/>
              <w:wordWrap/>
              <w:overflowPunct/>
              <w:topLinePunct w:val="0"/>
              <w:autoSpaceDE/>
              <w:autoSpaceDN/>
              <w:bidi w:val="0"/>
              <w:adjustRightInd/>
              <w:snapToGrid/>
              <w:spacing w:line="260" w:lineRule="exact"/>
              <w:jc w:val="center"/>
              <w:textAlignment w:val="center"/>
              <w:rPr>
                <w:rFonts w:hint="default" w:ascii="仿宋_GB2312" w:hAnsi="仿宋_GB2312" w:eastAsia="仿宋_GB2312" w:cs="仿宋_GB2312"/>
                <w:b/>
                <w:bCs/>
                <w:i w:val="0"/>
                <w:iCs w:val="0"/>
                <w:color w:val="auto"/>
                <w:kern w:val="0"/>
                <w:sz w:val="24"/>
                <w:szCs w:val="24"/>
                <w:highlight w:val="none"/>
                <w:u w:val="none"/>
                <w:lang w:val="en-US" w:eastAsia="zh-CN" w:bidi="ar"/>
              </w:rPr>
            </w:pPr>
            <w:r>
              <w:rPr>
                <w:rFonts w:hint="eastAsia" w:ascii="仿宋_GB2312" w:hAnsi="仿宋_GB2312" w:eastAsia="仿宋_GB2312" w:cs="仿宋_GB2312"/>
                <w:b/>
                <w:bCs/>
                <w:i w:val="0"/>
                <w:iCs w:val="0"/>
                <w:color w:val="auto"/>
                <w:kern w:val="0"/>
                <w:sz w:val="24"/>
                <w:szCs w:val="24"/>
                <w:highlight w:val="none"/>
                <w:u w:val="none"/>
                <w:lang w:val="en-US" w:eastAsia="zh-CN" w:bidi="ar"/>
              </w:rPr>
              <w:t>29.2</w:t>
            </w:r>
          </w:p>
        </w:tc>
      </w:tr>
    </w:tbl>
    <w:p w14:paraId="149F1C25">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1.社会效益方面。</w:t>
      </w:r>
      <w:r>
        <w:rPr>
          <w:rFonts w:hint="eastAsia" w:ascii="仿宋_GB2312" w:hAnsi="仿宋_GB2312" w:eastAsia="仿宋_GB2312" w:cs="仿宋_GB2312"/>
          <w:color w:val="auto"/>
          <w:kern w:val="2"/>
          <w:sz w:val="32"/>
          <w:szCs w:val="32"/>
          <w:highlight w:val="none"/>
          <w:lang w:val="en-US" w:eastAsia="zh-CN" w:bidi="ar-SA"/>
        </w:rPr>
        <w:t>通过项目实施,可消除垮塌地段的安全隐患，保障周边群众的生命财产安全，改善区域居住环境，提升群众生活便利性，为群众创造了更加舒适、安全的居住条件，增强了群众的幸福感和获得感。对于加速扶风县及绛帐镇的建设和发展，进一步改善当地的投资环境，促进区域经济社会高质量发展具有重要的作用和意义。因此，项目社会效益好。</w:t>
      </w:r>
    </w:p>
    <w:p w14:paraId="16BD9A27">
      <w:pPr>
        <w:pStyle w:val="2"/>
        <w:keepNext w:val="0"/>
        <w:keepLines w:val="0"/>
        <w:pageBreakBefore w:val="0"/>
        <w:widowControl w:val="0"/>
        <w:kinsoku/>
        <w:wordWrap/>
        <w:overflowPunct/>
        <w:topLinePunct w:val="0"/>
        <w:autoSpaceDE/>
        <w:autoSpaceDN/>
        <w:bidi w:val="0"/>
        <w:adjustRightInd/>
        <w:snapToGrid/>
        <w:spacing w:after="0" w:line="560" w:lineRule="exact"/>
        <w:ind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2.生态环境方面。</w:t>
      </w:r>
      <w:r>
        <w:rPr>
          <w:rFonts w:hint="eastAsia" w:ascii="仿宋_GB2312" w:hAnsi="仿宋_GB2312" w:eastAsia="仿宋_GB2312" w:cs="仿宋_GB2312"/>
          <w:color w:val="auto"/>
          <w:kern w:val="2"/>
          <w:sz w:val="32"/>
          <w:szCs w:val="32"/>
          <w:highlight w:val="none"/>
          <w:lang w:val="en-US" w:eastAsia="zh-CN" w:bidi="ar-SA"/>
        </w:rPr>
        <w:t>通过项目实施，可有效改善区域污水排放状况，减少污水对土壤和水体的污染，保护生态环境。因此，</w:t>
      </w:r>
      <w:r>
        <w:rPr>
          <w:rFonts w:hint="eastAsia" w:ascii="仿宋_GB2312" w:hAnsi="仿宋_GB2312" w:eastAsia="仿宋_GB2312" w:cs="仿宋_GB2312"/>
          <w:color w:val="auto"/>
          <w:sz w:val="32"/>
          <w:szCs w:val="32"/>
          <w:highlight w:val="none"/>
          <w:lang w:val="en-US" w:eastAsia="zh-CN"/>
        </w:rPr>
        <w:t>项目生态环境效</w:t>
      </w:r>
      <w:r>
        <w:rPr>
          <w:rFonts w:hint="eastAsia" w:ascii="仿宋_GB2312" w:hAnsi="仿宋_GB2312" w:eastAsia="仿宋_GB2312" w:cs="仿宋_GB2312"/>
          <w:color w:val="auto"/>
          <w:kern w:val="2"/>
          <w:sz w:val="32"/>
          <w:szCs w:val="32"/>
          <w:highlight w:val="none"/>
          <w:lang w:val="en-US" w:eastAsia="zh-CN" w:bidi="ar-SA"/>
        </w:rPr>
        <w:t>益较好</w:t>
      </w:r>
      <w:r>
        <w:rPr>
          <w:rFonts w:hint="eastAsia" w:ascii="仿宋_GB2312" w:hAnsi="仿宋_GB2312" w:eastAsia="仿宋_GB2312" w:cs="仿宋_GB2312"/>
          <w:color w:val="auto"/>
          <w:sz w:val="32"/>
          <w:szCs w:val="32"/>
          <w:highlight w:val="none"/>
          <w:lang w:val="en-US" w:eastAsia="zh-CN"/>
        </w:rPr>
        <w:t>。</w:t>
      </w:r>
    </w:p>
    <w:p w14:paraId="38590E5F">
      <w:pPr>
        <w:keepNext w:val="0"/>
        <w:keepLines w:val="0"/>
        <w:pageBreakBefore w:val="0"/>
        <w:widowControl/>
        <w:suppressLineNumbers w:val="0"/>
        <w:kinsoku/>
        <w:wordWrap/>
        <w:overflowPunct/>
        <w:topLinePunct w:val="0"/>
        <w:autoSpaceDE/>
        <w:autoSpaceDN/>
        <w:bidi w:val="0"/>
        <w:adjustRightInd/>
        <w:snapToGrid/>
        <w:spacing w:line="560" w:lineRule="exact"/>
        <w:ind w:firstLine="646" w:firstLineChars="200"/>
        <w:jc w:val="left"/>
        <w:textAlignment w:val="auto"/>
        <w:rPr>
          <w:rFonts w:hint="default"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3.可持续影响方面。</w:t>
      </w:r>
      <w:r>
        <w:rPr>
          <w:rFonts w:hint="eastAsia" w:ascii="仿宋_GB2312" w:hAnsi="仿宋_GB2312" w:eastAsia="仿宋_GB2312" w:cs="仿宋_GB2312"/>
          <w:color w:val="auto"/>
          <w:kern w:val="2"/>
          <w:sz w:val="32"/>
          <w:szCs w:val="32"/>
          <w:highlight w:val="none"/>
          <w:lang w:val="en-US" w:eastAsia="zh-CN" w:bidi="ar-SA"/>
        </w:rPr>
        <w:t>通过项目实施，对于加速扶风县及绛帐镇的建设和发展，进一步改善当地的投资环境，促进社会事业发展和区域的经济高质量发展具有重要的作用和意义。但项目建成后长效管护机制尚不健全。</w:t>
      </w:r>
    </w:p>
    <w:p w14:paraId="77554548">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4.受表彰情况。项目实施单位相关工作2024年未受到市级以上表彰奖励。</w:t>
      </w:r>
    </w:p>
    <w:p w14:paraId="772D4B9D">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5.满意度方面。通过走访部分群众和随机发放纸质调查问卷结果显示，群众整体满意度约为97%，大多数群众对项目的实施满意度高</w:t>
      </w:r>
      <w:r>
        <w:rPr>
          <w:rFonts w:hint="eastAsia" w:ascii="仿宋_GB2312" w:hAnsi="仿宋_GB2312" w:eastAsia="仿宋_GB2312" w:cs="仿宋_GB2312"/>
          <w:color w:val="auto"/>
          <w:kern w:val="2"/>
          <w:sz w:val="32"/>
          <w:szCs w:val="32"/>
          <w:highlight w:val="none"/>
          <w:lang w:val="en-US" w:eastAsia="zh-CN" w:bidi="ar-SA"/>
        </w:rPr>
        <w:t>。</w:t>
      </w:r>
    </w:p>
    <w:p w14:paraId="14657603">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评价组认为，项目资金管理有序，社会效益好，可持续影响较为长远，群众满意度较高，专项资金的社会效益作用发挥较为充分。</w:t>
      </w:r>
    </w:p>
    <w:p w14:paraId="39E81620">
      <w:pPr>
        <w:widowControl w:val="0"/>
        <w:spacing w:line="600" w:lineRule="exact"/>
        <w:ind w:firstLine="646" w:firstLineChars="200"/>
        <w:outlineLvl w:val="0"/>
        <w:rPr>
          <w:rFonts w:hint="eastAsia" w:ascii="黑体" w:hAnsi="黑体" w:eastAsia="黑体" w:cs="黑体"/>
          <w:color w:val="auto"/>
          <w:sz w:val="32"/>
          <w:szCs w:val="32"/>
          <w:highlight w:val="none"/>
          <w:lang w:val="en-US" w:eastAsia="zh-CN"/>
        </w:rPr>
      </w:pPr>
      <w:bookmarkStart w:id="2" w:name="_Toc7209"/>
      <w:bookmarkStart w:id="3" w:name="_Toc2070"/>
      <w:r>
        <w:rPr>
          <w:rFonts w:hint="eastAsia" w:ascii="黑体" w:hAnsi="黑体" w:eastAsia="黑体" w:cs="黑体"/>
          <w:b w:val="0"/>
          <w:bCs w:val="0"/>
          <w:color w:val="auto"/>
          <w:kern w:val="2"/>
          <w:sz w:val="32"/>
          <w:szCs w:val="32"/>
          <w:highlight w:val="none"/>
          <w:lang w:val="en-US" w:eastAsia="zh-CN" w:bidi="ar-SA"/>
        </w:rPr>
        <w:t>五、</w:t>
      </w:r>
      <w:bookmarkEnd w:id="2"/>
      <w:bookmarkEnd w:id="3"/>
      <w:r>
        <w:rPr>
          <w:rFonts w:hint="eastAsia" w:ascii="黑体" w:hAnsi="黑体" w:eastAsia="黑体" w:cs="黑体"/>
          <w:b w:val="0"/>
          <w:bCs w:val="0"/>
          <w:color w:val="auto"/>
          <w:kern w:val="2"/>
          <w:sz w:val="32"/>
          <w:szCs w:val="32"/>
          <w:highlight w:val="none"/>
          <w:lang w:val="en-US" w:eastAsia="zh-CN" w:bidi="ar-SA"/>
        </w:rPr>
        <w:t>存在的问题及原因分析</w:t>
      </w:r>
    </w:p>
    <w:p w14:paraId="768EB3F2">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楷体" w:hAnsi="楷体" w:eastAsia="楷体" w:cs="楷体"/>
          <w:b/>
          <w:bCs/>
          <w:kern w:val="2"/>
          <w:sz w:val="32"/>
          <w:szCs w:val="32"/>
          <w:highlight w:val="none"/>
          <w:lang w:val="en-US" w:eastAsia="zh-CN" w:bidi="ar-SA"/>
        </w:rPr>
        <w:t>（一）项目实施方案及计划不到位。</w:t>
      </w:r>
      <w:r>
        <w:rPr>
          <w:rFonts w:hint="eastAsia" w:ascii="仿宋_GB2312" w:hAnsi="仿宋_GB2312" w:eastAsia="仿宋_GB2312" w:cs="仿宋_GB2312"/>
          <w:color w:val="auto"/>
          <w:kern w:val="2"/>
          <w:sz w:val="32"/>
          <w:szCs w:val="32"/>
          <w:highlight w:val="none"/>
          <w:lang w:val="en-US" w:eastAsia="zh-CN" w:bidi="ar-SA"/>
        </w:rPr>
        <w:t>项目实施单位未能编制详实的项目实施方案，致使项目实施的内容、阶段、技术规范、资金使用以及保障措施不明确，无法为项目顺利实施提供指导和支撑。</w:t>
      </w:r>
    </w:p>
    <w:p w14:paraId="6F63673F">
      <w:pPr>
        <w:keepNext w:val="0"/>
        <w:keepLines w:val="0"/>
        <w:pageBreakBefore w:val="0"/>
        <w:widowControl w:val="0"/>
        <w:kinsoku/>
        <w:wordWrap/>
        <w:overflowPunct/>
        <w:topLinePunct w:val="0"/>
        <w:autoSpaceDE/>
        <w:autoSpaceDN/>
        <w:bidi w:val="0"/>
        <w:adjustRightInd/>
        <w:snapToGrid/>
        <w:spacing w:line="560" w:lineRule="exact"/>
        <w:ind w:left="0" w:leftChars="0" w:firstLine="646"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楷体" w:hAnsi="楷体" w:eastAsia="楷体" w:cs="楷体"/>
          <w:b/>
          <w:bCs/>
          <w:kern w:val="2"/>
          <w:sz w:val="32"/>
          <w:szCs w:val="32"/>
          <w:highlight w:val="none"/>
          <w:lang w:val="en-US" w:eastAsia="zh-CN" w:bidi="ar-SA"/>
        </w:rPr>
        <w:t>（二）项目相关管理工作不到位</w:t>
      </w:r>
      <w:r>
        <w:rPr>
          <w:rFonts w:hint="eastAsia" w:ascii="仿宋_GB2312" w:hAnsi="仿宋_GB2312" w:eastAsia="仿宋_GB2312" w:cs="仿宋_GB2312"/>
          <w:kern w:val="2"/>
          <w:sz w:val="32"/>
          <w:szCs w:val="32"/>
          <w:highlight w:val="none"/>
          <w:lang w:val="en-US" w:eastAsia="zh-CN" w:bidi="ar-SA"/>
        </w:rPr>
        <w:t>。一是未履行招标程序，拆除及恢复阶段共支付给扶风县日新堂工程劳务有限公司400,030.00元。二是通过现场查看，项目实施后的部分拆除物堆落在河道，说明项目在组织实施过程中存在不足。</w:t>
      </w:r>
      <w:r>
        <w:rPr>
          <w:rFonts w:hint="eastAsia" w:ascii="仿宋_GB2312" w:hAnsi="仿宋_GB2312" w:eastAsia="仿宋_GB2312" w:cs="仿宋_GB2312"/>
          <w:color w:val="auto"/>
          <w:sz w:val="32"/>
          <w:szCs w:val="32"/>
          <w:highlight w:val="none"/>
          <w:lang w:val="en-US" w:eastAsia="zh-CN"/>
        </w:rPr>
        <w:t>三是部分财务凭证附件不够齐全，详见表3-2。</w:t>
      </w:r>
    </w:p>
    <w:p w14:paraId="6AF13FE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kern w:val="2"/>
          <w:sz w:val="32"/>
          <w:szCs w:val="32"/>
          <w:highlight w:val="none"/>
          <w:lang w:val="en-US" w:eastAsia="zh-CN"/>
        </w:rPr>
      </w:pPr>
      <w:r>
        <w:rPr>
          <w:rFonts w:hint="eastAsia" w:ascii="楷体" w:hAnsi="楷体" w:eastAsia="楷体" w:cs="楷体"/>
          <w:b/>
          <w:bCs/>
          <w:kern w:val="2"/>
          <w:sz w:val="32"/>
          <w:szCs w:val="32"/>
          <w:highlight w:val="none"/>
          <w:lang w:val="en-US" w:eastAsia="zh-CN" w:bidi="ar-SA"/>
        </w:rPr>
        <w:t>（三）项目绩效管理工作存在不足。</w:t>
      </w:r>
      <w:r>
        <w:rPr>
          <w:rFonts w:hint="eastAsia" w:ascii="仿宋_GB2312" w:hAnsi="仿宋_GB2312" w:eastAsia="仿宋_GB2312" w:cs="仿宋_GB2312"/>
          <w:color w:val="auto"/>
          <w:kern w:val="2"/>
          <w:sz w:val="32"/>
          <w:szCs w:val="32"/>
          <w:highlight w:val="none"/>
          <w:lang w:val="en-US" w:eastAsia="zh-CN" w:bidi="ar-SA"/>
        </w:rPr>
        <w:t>尽管项目实施单位已开展了绩效管理工作，但仍存在着对预算绩效管理认识不够到位，绩效管理机制尚未建立，部分绩效目标设置不够合理、不够明确，绩效自评工作不规范，自评报告不详实，绩效责任约束作用不强等问题。</w:t>
      </w:r>
    </w:p>
    <w:p w14:paraId="24C2BF51">
      <w:pPr>
        <w:keepNext w:val="0"/>
        <w:keepLines w:val="0"/>
        <w:pageBreakBefore w:val="0"/>
        <w:widowControl w:val="0"/>
        <w:kinsoku/>
        <w:wordWrap/>
        <w:overflowPunct/>
        <w:topLinePunct w:val="0"/>
        <w:autoSpaceDE/>
        <w:autoSpaceDN/>
        <w:bidi w:val="0"/>
        <w:adjustRightInd/>
        <w:snapToGrid/>
        <w:spacing w:before="165" w:beforeLines="50" w:after="165" w:afterLines="50"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黑体" w:hAnsi="黑体" w:eastAsia="黑体" w:cs="仿宋_GB2312"/>
          <w:color w:val="auto"/>
          <w:sz w:val="32"/>
          <w:szCs w:val="32"/>
          <w:highlight w:val="none"/>
          <w:lang w:val="en-US" w:eastAsia="zh-CN"/>
        </w:rPr>
        <w:t>六、相关建议</w:t>
      </w:r>
    </w:p>
    <w:p w14:paraId="3C66748B">
      <w:pPr>
        <w:keepNext w:val="0"/>
        <w:keepLines w:val="0"/>
        <w:pageBreakBefore w:val="0"/>
        <w:widowControl w:val="0"/>
        <w:suppressLineNumbers w:val="0"/>
        <w:shd w:val="clear" w:color="auto" w:fill="auto"/>
        <w:kinsoku/>
        <w:wordWrap/>
        <w:overflowPunct/>
        <w:topLinePunct w:val="0"/>
        <w:autoSpaceDE/>
        <w:autoSpaceDN/>
        <w:bidi w:val="0"/>
        <w:adjustRightInd/>
        <w:snapToGrid/>
        <w:spacing w:beforeAutospacing="0" w:afterAutospacing="0" w:line="560" w:lineRule="exact"/>
        <w:ind w:right="0" w:firstLine="646" w:firstLineChars="200"/>
        <w:jc w:val="both"/>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（一）加强项目前期论证工作，科学编制项目实施方案。</w:t>
      </w:r>
      <w:r>
        <w:rPr>
          <w:rFonts w:hint="eastAsia" w:ascii="仿宋_GB2312" w:hAnsi="仿宋_GB2312" w:eastAsia="仿宋_GB2312" w:cs="仿宋_GB2312"/>
          <w:color w:val="auto"/>
          <w:kern w:val="2"/>
          <w:sz w:val="32"/>
          <w:szCs w:val="32"/>
          <w:highlight w:val="none"/>
          <w:lang w:val="en-US" w:eastAsia="zh-CN" w:bidi="ar-SA"/>
        </w:rPr>
        <w:t>项目前期工作是防范风险和项目取得成功的保障，是一个项目的酝酿阶段，准备的越充分，以后的工作就越顺利，就能为项目的实施开创一个良好的开端。一是建议项目单位在今后的相关工作中，应根据工作进展总体安排，以及在项目实施的难点、堵点等因素的分析和研判基础上，认真制定内容明确、方案清晰、实施计划、期限、时效与保障措施具体、切实可行的项目实施（建设）方案，为项目进行科学组织管理、合理部署、顺利建设、高效运行提供决策依据</w:t>
      </w:r>
      <w:r>
        <w:rPr>
          <w:rFonts w:hint="default" w:ascii="仿宋_GB2312" w:hAnsi="仿宋_GB2312" w:eastAsia="仿宋_GB2312" w:cs="仿宋_GB2312"/>
          <w:color w:val="auto"/>
          <w:kern w:val="2"/>
          <w:sz w:val="32"/>
          <w:szCs w:val="32"/>
          <w:highlight w:val="none"/>
          <w:lang w:val="en-US" w:eastAsia="zh-CN" w:bidi="ar-SA"/>
        </w:rPr>
        <w:t>和</w:t>
      </w:r>
      <w:r>
        <w:rPr>
          <w:rFonts w:hint="eastAsia" w:ascii="仿宋_GB2312" w:hAnsi="仿宋_GB2312" w:eastAsia="仿宋_GB2312" w:cs="仿宋_GB2312"/>
          <w:color w:val="auto"/>
          <w:kern w:val="2"/>
          <w:sz w:val="32"/>
          <w:szCs w:val="32"/>
          <w:highlight w:val="none"/>
          <w:lang w:val="en-US" w:eastAsia="zh-CN" w:bidi="ar-SA"/>
        </w:rPr>
        <w:t>支撑。二是提前谋划，倒排工期，制定可行的工程完工时间计划表，并根据工程施工过程，向前拟定出每一阶段的完工时间，从而便于督促和检查，保障在预定的时间内完成工程。</w:t>
      </w:r>
    </w:p>
    <w:p w14:paraId="1A1B8B88">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（二）强化项目管理，提升资金效益。</w:t>
      </w:r>
      <w:r>
        <w:rPr>
          <w:rFonts w:hint="eastAsia" w:ascii="仿宋_GB2312" w:hAnsi="仿宋_GB2312" w:eastAsia="仿宋_GB2312" w:cs="仿宋_GB2312"/>
          <w:color w:val="auto"/>
          <w:kern w:val="2"/>
          <w:sz w:val="32"/>
          <w:szCs w:val="32"/>
          <w:highlight w:val="none"/>
          <w:lang w:val="en-US" w:eastAsia="zh-CN" w:bidi="ar-SA"/>
        </w:rPr>
        <w:t>一是加强前期论证工作，明确实施步骤，预算等内容，对于达到招标限额的工程项目，必须严格按照国家及地方相关法律法规履行招标程序。同时，成立专门的招标管理小组，负责对招标全过程进行监督和管理，杜绝规避招标的情况，确保在项目实施过程中严格遵守招标规定。二是积极与环保、水利等部门建立联动机制，及时组织人员对堆落在河道的拆除物进行清理，确保河道畅通，避免对河道生态环境和行洪安全造成影响。三是查漏补缺完善凭证，对财务凭证附件不全的业务，及时查找并补充相关附件，如合同、明细清单，同时严格按照要求审核财务凭证，确保财务凭证的完整性和真实性。​</w:t>
      </w:r>
    </w:p>
    <w:p w14:paraId="63EF18ED">
      <w:pPr>
        <w:keepNext w:val="0"/>
        <w:keepLines w:val="0"/>
        <w:pageBreakBefore w:val="0"/>
        <w:widowControl w:val="0"/>
        <w:kinsoku/>
        <w:wordWrap/>
        <w:overflowPunct/>
        <w:topLinePunct w:val="0"/>
        <w:autoSpaceDE/>
        <w:autoSpaceDN/>
        <w:bidi w:val="0"/>
        <w:adjustRightInd/>
        <w:snapToGrid/>
        <w:spacing w:line="560" w:lineRule="exact"/>
        <w:ind w:firstLine="646" w:firstLineChars="200"/>
        <w:textAlignment w:val="auto"/>
        <w:rPr>
          <w:rFonts w:hint="eastAsia" w:ascii="仿宋_GB2312" w:hAnsi="仿宋_GB2312" w:eastAsia="仿宋_GB2312" w:cs="仿宋_GB2312"/>
          <w:color w:val="auto"/>
          <w:kern w:val="2"/>
          <w:sz w:val="32"/>
          <w:szCs w:val="32"/>
          <w:highlight w:val="none"/>
          <w:lang w:val="en-US" w:eastAsia="zh-CN" w:bidi="ar-SA"/>
        </w:rPr>
      </w:pPr>
      <w:r>
        <w:rPr>
          <w:rFonts w:hint="eastAsia" w:ascii="楷体" w:hAnsi="楷体" w:eastAsia="楷体" w:cs="楷体"/>
          <w:b/>
          <w:bCs/>
          <w:kern w:val="2"/>
          <w:sz w:val="32"/>
          <w:szCs w:val="32"/>
          <w:highlight w:val="none"/>
          <w:lang w:val="en-US" w:eastAsia="zh-CN" w:bidi="ar-SA"/>
        </w:rPr>
        <w:t>（三）增强绩效意识，强化绩效管理。</w:t>
      </w:r>
      <w:r>
        <w:rPr>
          <w:rFonts w:hint="eastAsia" w:ascii="仿宋_GB2312" w:hAnsi="仿宋_GB2312" w:eastAsia="仿宋_GB2312" w:cs="仿宋_GB2312"/>
          <w:color w:val="auto"/>
          <w:kern w:val="2"/>
          <w:sz w:val="32"/>
          <w:szCs w:val="32"/>
          <w:highlight w:val="none"/>
          <w:lang w:val="en-US" w:eastAsia="zh-CN" w:bidi="ar-SA"/>
        </w:rPr>
        <w:t>一是项目单位要切实增强绩效管理理念，树立绩效管理意识，筑牢“花钱必问效，无效必问责”的绩效理念，要学懂弄通项目绩效考核指标的各项要求，掌握指标内容和含义，努力提高绩效目标编制的完整性和规范性，并要着力健全项目绩效长效机制。二是项目单位要强化预算绩效目标管理，科学设置项目绩效目标，</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i3R41Ewdd5mEguxzKHLJ0zRK9RCMpbIE2ohWRNgO+nbr7/MK322ZLB+nUyMJaIS/zPAt0Iy7kJ6updQyJj7q74l2KsT+8LTwogzKMLWZXlqrPFSZwry0iEQqSBiN9pbdSjnNJDPvQ7sPJsQH3c47w0pVhevl1fm+xbwiCme6DJL+sUfbAAUOS6XsQ9kabDDRLdm0MRhmD1cOjuAD17a62yPAihHBZCfAhbRrWmTkgrxbIDW+nGR8LLUvtxMoJur/q8fv1gGy6bCGxiNmHQkAiDWUF/6dbdbI4KyHnGEtk8HYxm61Ibfz6J+ygfbBSIxdozCDYwcmfeXFE+H4a//WbkfIr4ZRMHn8i1ODMmqr+AHDI7ZlsHxk5Z5aUg63ATuqrGEddxQWpqM="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切实增强绩效目标的完整性、相关性、适当性和可行性</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确保项目绩效目标与政策目标、社会公众需求、财政投入规模、部门职责职能、项目实施计划等相匹配。三是项目单位要切实担负起预算绩效管理主体责任，进一步完善内部管理机制，严格按照既定的项目绩效目标指标任务，科学规划行动方案，制定确保项目目标实现的保障措施，同时，要加强预算绩效管理</w:t>
      </w:r>
      <w:r>
        <w:rPr>
          <w:rFonts w:hint="default" w:ascii="仿宋_GB2312" w:hAnsi="仿宋_GB2312" w:eastAsia="仿宋_GB2312" w:cs="仿宋_GB2312"/>
          <w:color w:val="auto"/>
          <w:kern w:val="2"/>
          <w:sz w:val="32"/>
          <w:szCs w:val="32"/>
          <w:highlight w:val="none"/>
          <w:lang w:val="en-US" w:eastAsia="zh-CN" w:bidi="ar-SA"/>
        </w:rPr>
        <w:t>的监督检查力度</w:t>
      </w:r>
      <w:r>
        <w:rPr>
          <w:rFonts w:hint="eastAsia" w:ascii="仿宋_GB2312" w:hAnsi="仿宋_GB2312" w:eastAsia="仿宋_GB2312" w:cs="仿宋_GB2312"/>
          <w:color w:val="auto"/>
          <w:kern w:val="2"/>
          <w:sz w:val="32"/>
          <w:szCs w:val="32"/>
          <w:highlight w:val="none"/>
          <w:lang w:val="en-US" w:eastAsia="zh-CN" w:bidi="ar-SA"/>
        </w:rPr>
        <w:t>，着力</w:t>
      </w:r>
      <w:r>
        <w:rPr>
          <w:rFonts w:hint="eastAsia" w:ascii="仿宋_GB2312" w:hAnsi="仿宋_GB2312" w:eastAsia="仿宋_GB2312" w:cs="仿宋_GB2312"/>
          <w:color w:val="auto"/>
          <w:kern w:val="2"/>
          <w:sz w:val="32"/>
          <w:szCs w:val="32"/>
          <w:highlight w:val="none"/>
          <w:lang w:val="en-US" w:eastAsia="zh-CN" w:bidi="ar-SA"/>
        </w:rPr>
        <w:fldChar w:fldCharType="begin"/>
      </w:r>
      <w:r>
        <w:rPr>
          <w:rFonts w:hint="eastAsia" w:ascii="仿宋_GB2312" w:hAnsi="仿宋_GB2312" w:eastAsia="仿宋_GB2312" w:cs="仿宋_GB2312"/>
          <w:color w:val="auto"/>
          <w:kern w:val="2"/>
          <w:sz w:val="32"/>
          <w:szCs w:val="32"/>
          <w:highlight w:val="none"/>
          <w:lang w:val="en-US" w:eastAsia="zh-CN" w:bidi="ar-SA"/>
        </w:rPr>
        <w:instrText xml:space="preserve"> HYPERLINK "https://www.so.com/link?m=bnd0CS7m7t9AaAvPB2vH3BRP3/yfQNsp7znNkGwWuAe2gRUIUiYZWEEBblmgEYi8HDloBvW8bC0mfHnSxA9UV1RBK/q3fx8zjIVpaTUgIaI3PDpZjJw+1eKU+k5YLUEFStmegNVtQIutFjMVz2F2ygLqp5a5M4MsKcIfm1NDvADG/SVEEgtZsLfSEEFShYsXI52EGDRCuBmB4+bEXdNWf7HQiuw3pahee5pto3xMW5uZP03jp72j5kYnxo5Z8Oll7hG6fwixOvCgwBFnMyWQeGVuYLi05PdBLV6tdSyohm7xKa/ACeP3f3vzV8oTGbts7" \t "https://www.so.com/_blank" </w:instrText>
      </w:r>
      <w:r>
        <w:rPr>
          <w:rFonts w:hint="eastAsia" w:ascii="仿宋_GB2312" w:hAnsi="仿宋_GB2312" w:eastAsia="仿宋_GB2312" w:cs="仿宋_GB2312"/>
          <w:color w:val="auto"/>
          <w:kern w:val="2"/>
          <w:sz w:val="32"/>
          <w:szCs w:val="32"/>
          <w:highlight w:val="none"/>
          <w:lang w:val="en-US" w:eastAsia="zh-CN" w:bidi="ar-SA"/>
        </w:rPr>
        <w:fldChar w:fldCharType="separate"/>
      </w:r>
      <w:r>
        <w:rPr>
          <w:rFonts w:hint="eastAsia" w:ascii="仿宋_GB2312" w:hAnsi="仿宋_GB2312" w:eastAsia="仿宋_GB2312" w:cs="仿宋_GB2312"/>
          <w:color w:val="auto"/>
          <w:kern w:val="2"/>
          <w:sz w:val="32"/>
          <w:szCs w:val="32"/>
          <w:highlight w:val="none"/>
          <w:lang w:val="en-US" w:eastAsia="zh-CN" w:bidi="ar-SA"/>
        </w:rPr>
        <w:t>提高财政资金使用效益</w:t>
      </w:r>
      <w:r>
        <w:rPr>
          <w:rFonts w:hint="eastAsia" w:ascii="仿宋_GB2312" w:hAnsi="仿宋_GB2312" w:eastAsia="仿宋_GB2312" w:cs="仿宋_GB2312"/>
          <w:color w:val="auto"/>
          <w:kern w:val="2"/>
          <w:sz w:val="32"/>
          <w:szCs w:val="32"/>
          <w:highlight w:val="none"/>
          <w:lang w:val="en-US" w:eastAsia="zh-CN" w:bidi="ar-SA"/>
        </w:rPr>
        <w:fldChar w:fldCharType="end"/>
      </w:r>
      <w:r>
        <w:rPr>
          <w:rFonts w:hint="eastAsia" w:ascii="仿宋_GB2312" w:hAnsi="仿宋_GB2312" w:eastAsia="仿宋_GB2312" w:cs="仿宋_GB2312"/>
          <w:color w:val="auto"/>
          <w:kern w:val="2"/>
          <w:sz w:val="32"/>
          <w:szCs w:val="32"/>
          <w:highlight w:val="none"/>
          <w:lang w:val="en-US" w:eastAsia="zh-CN" w:bidi="ar-SA"/>
        </w:rPr>
        <w:t>。四是项目单位要扎实开展绩效自评工作，通过对项目相关制度建立情况、资金使用情况、绩效目标实现等情况进行自我评价，了解资金使用是否达到预期目标、资金管理是否规范、资金使用是否有效，检验资金支出效率和效果，分析存在问题及原因，及时总结经验，改进管理措施，不断增强和落实绩效管理责任，完善工作机制，有效提高资金管理水平和使用效益。同时，要认真、准确填写自评数据表，形成详实的自评报告。</w:t>
      </w:r>
    </w:p>
    <w:p w14:paraId="7C26FC83">
      <w:pPr>
        <w:keepNext w:val="0"/>
        <w:keepLines w:val="0"/>
        <w:pageBreakBefore w:val="0"/>
        <w:widowControl w:val="0"/>
        <w:kinsoku/>
        <w:wordWrap/>
        <w:overflowPunct/>
        <w:topLinePunct w:val="0"/>
        <w:autoSpaceDE/>
        <w:autoSpaceDN/>
        <w:bidi w:val="0"/>
        <w:adjustRightInd/>
        <w:snapToGrid/>
        <w:spacing w:line="560" w:lineRule="exact"/>
        <w:ind w:right="0"/>
        <w:jc w:val="left"/>
        <w:textAlignment w:val="auto"/>
        <w:rPr>
          <w:rFonts w:hint="eastAsia" w:ascii="仿宋_GB2312" w:hAnsi="仿宋_GB2312" w:eastAsia="仿宋_GB2312" w:cs="仿宋_GB2312"/>
          <w:color w:val="auto"/>
          <w:sz w:val="32"/>
          <w:szCs w:val="32"/>
          <w:highlight w:val="none"/>
        </w:rPr>
      </w:pPr>
    </w:p>
    <w:p w14:paraId="2AF2684E">
      <w:pPr>
        <w:keepNext w:val="0"/>
        <w:keepLines w:val="0"/>
        <w:pageBreakBefore w:val="0"/>
        <w:widowControl w:val="0"/>
        <w:kinsoku/>
        <w:wordWrap/>
        <w:overflowPunct/>
        <w:topLinePunct w:val="0"/>
        <w:autoSpaceDE/>
        <w:autoSpaceDN/>
        <w:bidi w:val="0"/>
        <w:adjustRightInd/>
        <w:snapToGrid/>
        <w:spacing w:line="560" w:lineRule="exact"/>
        <w:ind w:right="0" w:firstLine="646"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i w:val="0"/>
          <w:iCs w:val="0"/>
          <w:color w:val="000000"/>
          <w:kern w:val="0"/>
          <w:sz w:val="32"/>
          <w:szCs w:val="32"/>
          <w:u w:val="none"/>
          <w:lang w:val="en-US" w:eastAsia="zh-CN" w:bidi="ar"/>
        </w:rPr>
        <w:t>2024年宝鸡峡渭高干渠凤鸣中坡段排险除患经费项目绩效评价指标体系及评分表</w:t>
      </w:r>
    </w:p>
    <w:p w14:paraId="21E7F158">
      <w:pPr>
        <w:keepNext w:val="0"/>
        <w:keepLines w:val="0"/>
        <w:pageBreakBefore w:val="0"/>
        <w:widowControl w:val="0"/>
        <w:kinsoku/>
        <w:wordWrap/>
        <w:overflowPunct/>
        <w:topLinePunct w:val="0"/>
        <w:autoSpaceDE/>
        <w:autoSpaceDN/>
        <w:bidi w:val="0"/>
        <w:adjustRightInd/>
        <w:snapToGrid/>
        <w:spacing w:line="660" w:lineRule="exact"/>
        <w:ind w:firstLine="1938" w:firstLineChars="600"/>
        <w:textAlignment w:val="auto"/>
        <w:rPr>
          <w:rFonts w:hint="eastAsia" w:ascii="仿宋" w:hAnsi="仿宋" w:eastAsia="仿宋" w:cs="仿宋"/>
          <w:sz w:val="32"/>
          <w:szCs w:val="32"/>
        </w:rPr>
      </w:pPr>
    </w:p>
    <w:p w14:paraId="26760FC4">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p>
    <w:p w14:paraId="0AAE9E47">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p>
    <w:p w14:paraId="37BB334B">
      <w:pPr>
        <w:keepNext w:val="0"/>
        <w:keepLines w:val="0"/>
        <w:pageBreakBefore w:val="0"/>
        <w:widowControl w:val="0"/>
        <w:tabs>
          <w:tab w:val="left" w:pos="6300"/>
          <w:tab w:val="left" w:pos="6480"/>
          <w:tab w:val="left" w:pos="6660"/>
          <w:tab w:val="left" w:pos="7050"/>
          <w:tab w:val="left" w:pos="7200"/>
          <w:tab w:val="left" w:pos="735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宋体" w:eastAsia="仿宋_GB2312" w:cs="宋体"/>
          <w:color w:val="auto"/>
          <w:spacing w:val="0"/>
          <w:kern w:val="0"/>
          <w:sz w:val="32"/>
          <w:szCs w:val="32"/>
          <w:highlight w:val="none"/>
          <w:lang w:val="en-US" w:eastAsia="zh-CN"/>
        </w:rPr>
        <w:t>扶风县财政局</w:t>
      </w:r>
    </w:p>
    <w:p w14:paraId="4CA2E5CD">
      <w:pPr>
        <w:keepNext w:val="0"/>
        <w:keepLines w:val="0"/>
        <w:pageBreakBefore w:val="0"/>
        <w:widowControl w:val="0"/>
        <w:tabs>
          <w:tab w:val="left" w:pos="7050"/>
          <w:tab w:val="left" w:pos="7200"/>
        </w:tabs>
        <w:kinsoku/>
        <w:wordWrap/>
        <w:overflowPunct/>
        <w:topLinePunct w:val="0"/>
        <w:autoSpaceDE/>
        <w:autoSpaceDN/>
        <w:bidi w:val="0"/>
        <w:adjustRightInd/>
        <w:snapToGrid/>
        <w:spacing w:line="660" w:lineRule="exact"/>
        <w:ind w:left="0" w:leftChars="0" w:right="0" w:firstLine="646" w:firstLineChars="200"/>
        <w:jc w:val="center"/>
        <w:textAlignment w:val="auto"/>
        <w:outlineLvl w:val="0"/>
        <w:rPr>
          <w:rFonts w:hint="eastAsia"/>
          <w:highlight w:val="yellow"/>
        </w:rPr>
      </w:pP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日</w:t>
      </w:r>
    </w:p>
    <w:p w14:paraId="73974CA3">
      <w:pPr>
        <w:outlineLvl w:val="0"/>
        <w:rPr>
          <w:rFonts w:hint="eastAsia" w:ascii="黑体" w:hAnsi="黑体" w:eastAsia="黑体" w:cs="黑体"/>
          <w:color w:val="auto"/>
          <w:sz w:val="32"/>
          <w:szCs w:val="32"/>
          <w:highlight w:val="none"/>
        </w:rPr>
      </w:pPr>
    </w:p>
    <w:p w14:paraId="093263DD">
      <w:pPr>
        <w:outlineLvl w:val="0"/>
        <w:rPr>
          <w:rFonts w:hint="eastAsia" w:ascii="黑体" w:hAnsi="黑体" w:eastAsia="黑体" w:cs="黑体"/>
          <w:color w:val="auto"/>
          <w:sz w:val="32"/>
          <w:szCs w:val="32"/>
          <w:highlight w:val="none"/>
        </w:rPr>
      </w:pPr>
    </w:p>
    <w:p w14:paraId="16F041DE">
      <w:pPr>
        <w:outlineLvl w:val="0"/>
        <w:rPr>
          <w:rFonts w:hint="eastAsia" w:ascii="黑体" w:hAnsi="黑体" w:eastAsia="黑体" w:cs="黑体"/>
          <w:color w:val="auto"/>
          <w:sz w:val="32"/>
          <w:szCs w:val="32"/>
          <w:highlight w:val="none"/>
        </w:rPr>
        <w:sectPr>
          <w:headerReference r:id="rId8" w:type="first"/>
          <w:footerReference r:id="rId10" w:type="first"/>
          <w:headerReference r:id="rId7" w:type="default"/>
          <w:footerReference r:id="rId9" w:type="default"/>
          <w:pgSz w:w="11906" w:h="16838"/>
          <w:pgMar w:top="1417" w:right="1559" w:bottom="1417" w:left="1701" w:header="851" w:footer="992" w:gutter="0"/>
          <w:pgBorders>
            <w:top w:val="none" w:sz="0" w:space="0"/>
            <w:left w:val="none" w:sz="0" w:space="0"/>
            <w:bottom w:val="none" w:sz="0" w:space="0"/>
            <w:right w:val="none" w:sz="0" w:space="0"/>
          </w:pgBorders>
          <w:pgNumType w:fmt="decimal" w:start="1"/>
          <w:cols w:space="720" w:num="1"/>
          <w:titlePg/>
          <w:rtlGutter w:val="0"/>
          <w:docGrid w:type="linesAndChars" w:linePitch="327" w:charSpace="625"/>
        </w:sectPr>
      </w:pPr>
    </w:p>
    <w:p w14:paraId="0EAF3662">
      <w:pPr>
        <w:outlineLvl w:val="0"/>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p>
    <w:p w14:paraId="33322F01">
      <w:pPr>
        <w:pStyle w:val="2"/>
        <w:jc w:val="center"/>
        <w:rPr>
          <w:rFonts w:hint="eastAsia"/>
          <w:lang w:val="en-US" w:eastAsia="zh-CN"/>
        </w:rPr>
      </w:pPr>
      <w:r>
        <w:rPr>
          <w:rFonts w:hint="eastAsia" w:ascii="仿宋_GB2312" w:hAnsi="仿宋_GB2312" w:eastAsia="仿宋_GB2312" w:cs="仿宋_GB2312"/>
          <w:b w:val="0"/>
          <w:bCs w:val="0"/>
          <w:i w:val="0"/>
          <w:iCs w:val="0"/>
          <w:color w:val="000000"/>
          <w:kern w:val="0"/>
          <w:sz w:val="32"/>
          <w:szCs w:val="32"/>
          <w:u w:val="none"/>
          <w:lang w:val="en-US" w:eastAsia="zh-CN" w:bidi="ar"/>
        </w:rPr>
        <w:t>2024年宝鸡峡渭高干渠凤鸣中坡段排险除患经费项目绩效评价指标体系及评分表</w:t>
      </w:r>
    </w:p>
    <w:tbl>
      <w:tblPr>
        <w:tblStyle w:val="15"/>
        <w:tblW w:w="143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93"/>
        <w:gridCol w:w="1278"/>
        <w:gridCol w:w="1339"/>
        <w:gridCol w:w="7592"/>
        <w:gridCol w:w="740"/>
        <w:gridCol w:w="700"/>
        <w:gridCol w:w="2160"/>
      </w:tblGrid>
      <w:tr w14:paraId="5220F1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8" w:hRule="atLeast"/>
          <w:tblHeader/>
        </w:trPr>
        <w:tc>
          <w:tcPr>
            <w:tcW w:w="493"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41477F4C">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一级</w:t>
            </w:r>
          </w:p>
          <w:p w14:paraId="023D2642">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指标</w:t>
            </w:r>
          </w:p>
        </w:tc>
        <w:tc>
          <w:tcPr>
            <w:tcW w:w="1278"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34EEB57F">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二级</w:t>
            </w:r>
          </w:p>
          <w:p w14:paraId="7DD2848A">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指标</w:t>
            </w:r>
          </w:p>
        </w:tc>
        <w:tc>
          <w:tcPr>
            <w:tcW w:w="1339"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51F7BF7F">
            <w:pPr>
              <w:keepNext w:val="0"/>
              <w:keepLines w:val="0"/>
              <w:widowControl/>
              <w:suppressLineNumbers w:val="0"/>
              <w:jc w:val="center"/>
              <w:textAlignment w:val="center"/>
              <w:rPr>
                <w:rFonts w:hint="eastAsia"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三级</w:t>
            </w:r>
          </w:p>
          <w:p w14:paraId="63AE5A51">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指标</w:t>
            </w:r>
          </w:p>
        </w:tc>
        <w:tc>
          <w:tcPr>
            <w:tcW w:w="7592"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ign w:val="center"/>
          </w:tcPr>
          <w:p w14:paraId="3A8FADFC">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三级指标评分标准</w:t>
            </w:r>
          </w:p>
        </w:tc>
        <w:tc>
          <w:tcPr>
            <w:tcW w:w="74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1504BDA4">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三级指标分值权重</w:t>
            </w:r>
          </w:p>
        </w:tc>
        <w:tc>
          <w:tcPr>
            <w:tcW w:w="70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253F522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三级指标评价得分</w:t>
            </w:r>
          </w:p>
        </w:tc>
        <w:tc>
          <w:tcPr>
            <w:tcW w:w="2160" w:type="dxa"/>
            <w:tcBorders>
              <w:top w:val="single" w:color="000000" w:sz="4" w:space="0"/>
              <w:left w:val="single" w:color="000000" w:sz="4" w:space="0"/>
              <w:bottom w:val="single" w:color="000000" w:sz="4" w:space="0"/>
              <w:right w:val="single" w:color="000000" w:sz="4" w:space="0"/>
            </w:tcBorders>
            <w:shd w:val="clear" w:color="auto" w:fill="D7D7D7" w:themeFill="background1" w:themeFillShade="D8"/>
            <w:noWrap w:val="0"/>
            <w:vAlign w:val="center"/>
          </w:tcPr>
          <w:p w14:paraId="51282DB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bCs/>
                <w:i w:val="0"/>
                <w:iCs w:val="0"/>
                <w:color w:val="000000"/>
                <w:kern w:val="0"/>
                <w:sz w:val="21"/>
                <w:szCs w:val="21"/>
                <w:highlight w:val="none"/>
                <w:u w:val="none"/>
                <w:lang w:val="en-US" w:eastAsia="zh-CN" w:bidi="ar"/>
              </w:rPr>
              <w:t>扣分原因</w:t>
            </w:r>
          </w:p>
        </w:tc>
      </w:tr>
      <w:tr w14:paraId="440B1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93" w:type="dxa"/>
            <w:vMerge w:val="restart"/>
            <w:tcBorders>
              <w:top w:val="single" w:color="000000" w:sz="4" w:space="0"/>
              <w:left w:val="single" w:color="000000" w:sz="4" w:space="0"/>
              <w:bottom w:val="single" w:color="000000" w:sz="4" w:space="0"/>
              <w:right w:val="single" w:color="000000" w:sz="4" w:space="0"/>
            </w:tcBorders>
            <w:noWrap w:val="0"/>
            <w:vAlign w:val="center"/>
          </w:tcPr>
          <w:p w14:paraId="4EE57E5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决策︵</w:t>
            </w:r>
          </w:p>
          <w:p w14:paraId="2CACDC1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12分︶</w:t>
            </w: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4988E74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w:t>
            </w:r>
          </w:p>
          <w:p w14:paraId="2C82C90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立项</w:t>
            </w:r>
          </w:p>
          <w:p w14:paraId="5CE18B2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62767B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立项依据  </w:t>
            </w:r>
          </w:p>
          <w:p w14:paraId="4CA87B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充分性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654D78B5">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①项目立项符合国家法律法规、国民经济发展规划和相关政策，得0.5分；</w:t>
            </w:r>
          </w:p>
          <w:p w14:paraId="24566BFC">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②项目立项符合行业发展规划和政策要求，得0.5分；</w:t>
            </w:r>
          </w:p>
          <w:p w14:paraId="0CDBC875">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③项目立项与部门职责范围相符，属于部门履职所需，得0.5分；</w:t>
            </w:r>
          </w:p>
          <w:p w14:paraId="13B4924D">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④项目属于公共财政支持范围，符合中央、地方事权支出责任划分原则，得0.5分。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7FBE29D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0A002E6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5011DD49">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2542E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592510">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0D32F3">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06F2D1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立项程序</w:t>
            </w:r>
          </w:p>
          <w:p w14:paraId="716DE93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规范性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3C3CA1B3">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①项目按照规定的程序申请设立，得0.5分；</w:t>
            </w:r>
          </w:p>
          <w:p w14:paraId="45FC702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②审批文件、材料符合相关要求，得0.5分；</w:t>
            </w:r>
          </w:p>
          <w:p w14:paraId="24AC1BFF">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③项目有完整可行的实施方案或相关报告，得0.5分；</w:t>
            </w:r>
          </w:p>
          <w:p w14:paraId="27C63609">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Style w:val="23"/>
                <w:rFonts w:hint="eastAsia" w:ascii="仿宋_GB2312" w:hAnsi="仿宋_GB2312" w:eastAsia="仿宋_GB2312" w:cs="仿宋_GB2312"/>
                <w:sz w:val="21"/>
                <w:szCs w:val="21"/>
                <w:lang w:val="en-US" w:eastAsia="zh-CN" w:bidi="ar"/>
              </w:rPr>
              <w:t>④事前已经过必要的研究、论证、风险评估、绩效评估、集体决策，得0.5分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3ECE3C5">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0A65099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45E50543">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项目实施方案不够详实</w:t>
            </w:r>
          </w:p>
        </w:tc>
      </w:tr>
      <w:tr w14:paraId="14D0E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2B9D364">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00100AF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绩效</w:t>
            </w:r>
          </w:p>
          <w:p w14:paraId="336ED4B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目标</w:t>
            </w:r>
          </w:p>
          <w:p w14:paraId="79A8BC3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77FD268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绩效目标  </w:t>
            </w:r>
          </w:p>
          <w:p w14:paraId="033A5D7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合理性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3F3FEF1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①符合国家相关法律法规和中省市县党委政府决策得0.5分；</w:t>
            </w:r>
          </w:p>
          <w:p w14:paraId="4CEDFB2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②与项目实施单位职责密切相关得0.5分；</w:t>
            </w:r>
          </w:p>
          <w:p w14:paraId="3BE448C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③项目是为排险除患基础设施建设所必需得0.5分；</w:t>
            </w:r>
          </w:p>
          <w:p w14:paraId="45B35956">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④项目预期目标符合客观实际，能够在一定期限内如期实现，得0.5分。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5E3347B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BDE1C3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214F08E8">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部分绩效目标设置不合理</w:t>
            </w:r>
          </w:p>
        </w:tc>
      </w:tr>
      <w:tr w14:paraId="686AB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A992BD">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93F02C">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038EBE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绩效指标  </w:t>
            </w:r>
          </w:p>
          <w:p w14:paraId="58DCC41C">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明确性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49E9B857">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①项目按照绩效目标要求申报，得0.5分；</w:t>
            </w:r>
          </w:p>
          <w:p w14:paraId="5916E23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②绩效目标通过清晰、可量化的指标体现，得0.5分；                      </w:t>
            </w:r>
          </w:p>
          <w:p w14:paraId="6A5E465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③绩效目标与项目年度任务数或计划数相对应，得0.5分；                        </w:t>
            </w:r>
          </w:p>
          <w:p w14:paraId="06E4B39D">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④预算确定的项目与分配资金量相匹配，得0.5分。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500F3B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543D6F6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4AED781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部分指标值设置不恰当</w:t>
            </w:r>
          </w:p>
        </w:tc>
      </w:tr>
      <w:tr w14:paraId="58806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98"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BF0111">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10B4C4D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资金</w:t>
            </w:r>
          </w:p>
          <w:p w14:paraId="41995E5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投入</w:t>
            </w:r>
          </w:p>
          <w:p w14:paraId="2D96F710">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1B4F2E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预算编制   科学性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71C3B5B8">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①预算编制经过科学论证，得0.5分</w:t>
            </w:r>
          </w:p>
          <w:p w14:paraId="570BCBC4">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②预算内容与项目内容相匹配，得0.5分</w:t>
            </w:r>
          </w:p>
          <w:p w14:paraId="43DFD1E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③预算额度测算依据充分，并能按照标准编制，得0.5分</w:t>
            </w:r>
          </w:p>
          <w:p w14:paraId="5D45E1CF">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④预算确定的项目投资额或资金量与建设任务相匹配，得0.5分。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223DFFD">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243BB5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73E90163">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kern w:val="0"/>
                <w:sz w:val="21"/>
                <w:szCs w:val="21"/>
                <w:u w:val="none"/>
                <w:lang w:val="en-US" w:eastAsia="zh-CN" w:bidi="ar"/>
              </w:rPr>
              <w:t>预算与实际需要存在偏差。</w:t>
            </w:r>
          </w:p>
        </w:tc>
      </w:tr>
      <w:tr w14:paraId="1216F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4"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60AE0A">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5CDFE6E">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1457CEC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资金分配</w:t>
            </w:r>
          </w:p>
          <w:p w14:paraId="76FFC181">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合理性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74D5F55F">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①预算资金分配依据充分，得1分； </w:t>
            </w:r>
          </w:p>
          <w:p w14:paraId="469BE767">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u w:val="none"/>
                <w:lang w:val="en-US" w:eastAsia="zh-CN" w:bidi="ar"/>
              </w:rPr>
              <w:t>②资金分配额度合理，与项目单位或地方实际相适应，得1分。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F4F78C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A5DB77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1.8</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36942758">
            <w:pPr>
              <w:jc w:val="left"/>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分配额度不够合理</w:t>
            </w:r>
          </w:p>
        </w:tc>
      </w:tr>
      <w:tr w14:paraId="709EF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493" w:type="dxa"/>
            <w:vMerge w:val="restart"/>
            <w:tcBorders>
              <w:top w:val="single" w:color="000000" w:sz="4" w:space="0"/>
              <w:left w:val="single" w:color="000000" w:sz="4" w:space="0"/>
              <w:bottom w:val="single" w:color="000000" w:sz="4" w:space="0"/>
              <w:right w:val="single" w:color="000000" w:sz="4" w:space="0"/>
            </w:tcBorders>
            <w:noWrap w:val="0"/>
            <w:vAlign w:val="center"/>
          </w:tcPr>
          <w:p w14:paraId="1B69ABC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过程</w:t>
            </w:r>
          </w:p>
          <w:p w14:paraId="630FF04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w:t>
            </w:r>
          </w:p>
          <w:p w14:paraId="4FFC7EA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15分︶</w:t>
            </w:r>
          </w:p>
        </w:tc>
        <w:tc>
          <w:tcPr>
            <w:tcW w:w="1278" w:type="dxa"/>
            <w:vMerge w:val="restart"/>
            <w:tcBorders>
              <w:top w:val="nil"/>
              <w:left w:val="single" w:color="000000" w:sz="4" w:space="0"/>
              <w:bottom w:val="single" w:color="000000" w:sz="4" w:space="0"/>
              <w:right w:val="single" w:color="000000" w:sz="4" w:space="0"/>
            </w:tcBorders>
            <w:noWrap w:val="0"/>
            <w:vAlign w:val="top"/>
          </w:tcPr>
          <w:p w14:paraId="0050CDB9">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p>
          <w:p w14:paraId="01422114">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                   </w:t>
            </w:r>
          </w:p>
          <w:p w14:paraId="6B52624D">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p>
          <w:p w14:paraId="40745AD5">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p>
          <w:p w14:paraId="662ECF63">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p>
          <w:p w14:paraId="447DB97E">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资金</w:t>
            </w:r>
          </w:p>
          <w:p w14:paraId="36AE0726">
            <w:pPr>
              <w:keepNext w:val="0"/>
              <w:keepLines w:val="0"/>
              <w:widowControl/>
              <w:suppressLineNumbers w:val="0"/>
              <w:jc w:val="center"/>
              <w:textAlignment w:val="top"/>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管理</w:t>
            </w:r>
          </w:p>
          <w:p w14:paraId="1F9154E5">
            <w:pPr>
              <w:keepNext w:val="0"/>
              <w:keepLines w:val="0"/>
              <w:widowControl/>
              <w:suppressLineNumbers w:val="0"/>
              <w:jc w:val="center"/>
              <w:textAlignment w:val="top"/>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9分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6B2F81B4">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资金到位率</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6DCF166E">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资金到位率a=(实际到位资金/预算资金)×100% </w:t>
            </w:r>
          </w:p>
          <w:p w14:paraId="318EE8E6">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得分=资金到位率a×指标分值，且a＜60%不得分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754FD129">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DC6B35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39AA75FC">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7A2BF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9"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648A54E9">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nil"/>
              <w:left w:val="single" w:color="000000" w:sz="4" w:space="0"/>
              <w:bottom w:val="single" w:color="000000" w:sz="4" w:space="0"/>
              <w:right w:val="single" w:color="000000" w:sz="4" w:space="0"/>
            </w:tcBorders>
            <w:noWrap w:val="0"/>
            <w:vAlign w:val="top"/>
          </w:tcPr>
          <w:p w14:paraId="30A41EE3">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59E93E5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预算执行率</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0BE09F9E">
            <w:pPr>
              <w:keepNext w:val="0"/>
              <w:keepLines w:val="0"/>
              <w:widowControl/>
              <w:suppressLineNumbers w:val="0"/>
              <w:jc w:val="both"/>
              <w:textAlignment w:val="center"/>
              <w:rPr>
                <w:rFonts w:hint="eastAsia" w:ascii="仿宋_GB2312" w:hAnsi="仿宋_GB2312" w:eastAsia="仿宋_GB2312" w:cs="仿宋_GB2312"/>
                <w:i w:val="0"/>
                <w:iCs w:val="0"/>
                <w:color w:val="FFFFFF"/>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预算执行率a=实际支出资金/实际到位资金×100%</w:t>
            </w:r>
            <w:r>
              <w:rPr>
                <w:rFonts w:hint="eastAsia" w:ascii="仿宋_GB2312" w:hAnsi="仿宋_GB2312" w:eastAsia="仿宋_GB2312" w:cs="仿宋_GB2312"/>
                <w:i w:val="0"/>
                <w:iCs w:val="0"/>
                <w:color w:val="FFFFFF"/>
                <w:kern w:val="0"/>
                <w:sz w:val="21"/>
                <w:szCs w:val="21"/>
                <w:u w:val="none"/>
                <w:lang w:val="en-US" w:eastAsia="zh-CN" w:bidi="ar"/>
              </w:rPr>
              <w:t xml:space="preserve"> </w:t>
            </w:r>
          </w:p>
          <w:p w14:paraId="46EC8417">
            <w:pPr>
              <w:keepNext w:val="0"/>
              <w:keepLines w:val="0"/>
              <w:widowControl/>
              <w:suppressLineNumbers w:val="0"/>
              <w:jc w:val="both"/>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得分=预算执行率a×指标分值，且a＜60%不得分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20654ED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7019BE4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7BA098A8">
            <w:pPr>
              <w:jc w:val="left"/>
              <w:rPr>
                <w:rFonts w:hint="eastAsia" w:ascii="仿宋_GB2312" w:hAnsi="仿宋_GB2312" w:eastAsia="仿宋_GB2312" w:cs="仿宋_GB2312"/>
                <w:b w:val="0"/>
                <w:bCs w:val="0"/>
                <w:i w:val="0"/>
                <w:iCs w:val="0"/>
                <w:color w:val="000000"/>
                <w:sz w:val="21"/>
                <w:szCs w:val="21"/>
                <w:highlight w:val="none"/>
                <w:u w:val="none"/>
              </w:rPr>
            </w:pPr>
          </w:p>
        </w:tc>
      </w:tr>
      <w:tr w14:paraId="1315B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6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43002F0">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nil"/>
              <w:left w:val="single" w:color="000000" w:sz="4" w:space="0"/>
              <w:bottom w:val="single" w:color="000000" w:sz="4" w:space="0"/>
              <w:right w:val="single" w:color="000000" w:sz="4" w:space="0"/>
            </w:tcBorders>
            <w:noWrap w:val="0"/>
            <w:vAlign w:val="top"/>
          </w:tcPr>
          <w:p w14:paraId="674A785B">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5D0782A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资金使用  </w:t>
            </w:r>
          </w:p>
          <w:p w14:paraId="7207F8B2">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合规性</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3DAED002">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①符合国家财经法规和财务管理制度以及有关专项资金管理办法，得0.5分；                                                   </w:t>
            </w:r>
          </w:p>
          <w:p w14:paraId="2E92907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②资金的拨付有完整的审批程序和手续，得1分； </w:t>
            </w:r>
          </w:p>
          <w:p w14:paraId="1CC2EA0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③符合项目预算批复或合同、以及专项资金管理办法的用途，得1分；                     ④按时拨付、使用资金，得0.5分；                              </w:t>
            </w:r>
          </w:p>
          <w:p w14:paraId="1B7487A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⑤存在截留、挤占、挪用、虚列支出等情况，扣3分。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2F8EC4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BC278C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2.8</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0E159A59">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部分财务凭证附件不够齐全</w:t>
            </w:r>
          </w:p>
          <w:p w14:paraId="7011524A">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p>
        </w:tc>
      </w:tr>
      <w:tr w14:paraId="69366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6"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D2714B">
            <w:pPr>
              <w:jc w:val="center"/>
              <w:rPr>
                <w:rFonts w:hint="eastAsia" w:ascii="仿宋_GB2312" w:hAnsi="仿宋_GB2312" w:eastAsia="仿宋_GB2312" w:cs="仿宋_GB2312"/>
                <w:i w:val="0"/>
                <w:iCs w:val="0"/>
                <w:color w:val="000000"/>
                <w:sz w:val="21"/>
                <w:szCs w:val="21"/>
                <w:u w:val="none"/>
              </w:rPr>
            </w:pPr>
          </w:p>
        </w:tc>
        <w:tc>
          <w:tcPr>
            <w:tcW w:w="1278" w:type="dxa"/>
            <w:vMerge w:val="restart"/>
            <w:tcBorders>
              <w:top w:val="single" w:color="000000" w:sz="4" w:space="0"/>
              <w:left w:val="single" w:color="000000" w:sz="4" w:space="0"/>
              <w:bottom w:val="single" w:color="000000" w:sz="4" w:space="0"/>
              <w:right w:val="single" w:color="000000" w:sz="4" w:space="0"/>
            </w:tcBorders>
            <w:noWrap w:val="0"/>
            <w:vAlign w:val="center"/>
          </w:tcPr>
          <w:p w14:paraId="7B90D20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组织</w:t>
            </w:r>
          </w:p>
          <w:p w14:paraId="27808E1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实施</w:t>
            </w:r>
          </w:p>
          <w:p w14:paraId="77033D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6分</w:t>
            </w:r>
          </w:p>
        </w:tc>
        <w:tc>
          <w:tcPr>
            <w:tcW w:w="1339" w:type="dxa"/>
            <w:tcBorders>
              <w:top w:val="single" w:color="000000" w:sz="4" w:space="0"/>
              <w:left w:val="single" w:color="000000" w:sz="4" w:space="0"/>
              <w:bottom w:val="single" w:color="auto" w:sz="4" w:space="0"/>
              <w:right w:val="single" w:color="000000" w:sz="4" w:space="0"/>
            </w:tcBorders>
            <w:noWrap w:val="0"/>
            <w:vAlign w:val="center"/>
          </w:tcPr>
          <w:p w14:paraId="51DB82F4">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管理制度  </w:t>
            </w:r>
          </w:p>
          <w:p w14:paraId="11E934AD">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健全性</w:t>
            </w:r>
          </w:p>
        </w:tc>
        <w:tc>
          <w:tcPr>
            <w:tcW w:w="7592" w:type="dxa"/>
            <w:tcBorders>
              <w:top w:val="single" w:color="000000" w:sz="4" w:space="0"/>
              <w:left w:val="single" w:color="000000" w:sz="4" w:space="0"/>
              <w:bottom w:val="single" w:color="auto" w:sz="4" w:space="0"/>
              <w:right w:val="single" w:color="000000" w:sz="4" w:space="0"/>
            </w:tcBorders>
            <w:noWrap w:val="0"/>
            <w:vAlign w:val="center"/>
          </w:tcPr>
          <w:p w14:paraId="6CB581AA">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①已制定或具有相应的财务和业务等各项管理制度，得1分；</w:t>
            </w:r>
          </w:p>
          <w:p w14:paraId="7B16867A">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②财务和业务等各项管理制度合法、合规、完整，得1分；</w:t>
            </w:r>
          </w:p>
          <w:p w14:paraId="3E39F468">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③项目招投标工作规范,得1分。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15F2302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051CF1A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2.5</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2496FFEB">
            <w:pPr>
              <w:jc w:val="left"/>
              <w:rPr>
                <w:rFonts w:hint="default" w:ascii="仿宋_GB2312" w:hAnsi="仿宋_GB2312" w:eastAsia="仿宋_GB2312" w:cs="仿宋_GB2312"/>
                <w:b w:val="0"/>
                <w:bCs w:val="0"/>
                <w:i w:val="0"/>
                <w:iCs w:val="0"/>
                <w:color w:val="000000"/>
                <w:sz w:val="21"/>
                <w:szCs w:val="21"/>
                <w:highlight w:val="none"/>
                <w:u w:val="none"/>
                <w:lang w:val="en-US" w:eastAsia="zh-CN"/>
              </w:rPr>
            </w:pPr>
            <w:r>
              <w:rPr>
                <w:rFonts w:hint="default" w:ascii="仿宋_GB2312" w:hAnsi="仿宋_GB2312" w:eastAsia="仿宋_GB2312" w:cs="仿宋_GB2312"/>
                <w:b w:val="0"/>
                <w:bCs w:val="0"/>
                <w:i w:val="0"/>
                <w:iCs w:val="0"/>
                <w:color w:val="000000"/>
                <w:sz w:val="21"/>
                <w:szCs w:val="21"/>
                <w:highlight w:val="none"/>
                <w:u w:val="none"/>
                <w:lang w:val="en-US" w:eastAsia="zh-CN"/>
              </w:rPr>
              <w:t>项目各相关单位有相关管理制度，但制度不够规范。</w:t>
            </w:r>
          </w:p>
        </w:tc>
      </w:tr>
      <w:tr w14:paraId="7D3DC4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41DCCC18">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000000" w:sz="4" w:space="0"/>
              <w:left w:val="single" w:color="000000" w:sz="4" w:space="0"/>
              <w:bottom w:val="single" w:color="000000" w:sz="4" w:space="0"/>
              <w:right w:val="single" w:color="auto" w:sz="4" w:space="0"/>
            </w:tcBorders>
            <w:noWrap w:val="0"/>
            <w:vAlign w:val="center"/>
          </w:tcPr>
          <w:p w14:paraId="6B4A469B">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auto" w:sz="4" w:space="0"/>
              <w:left w:val="single" w:color="auto" w:sz="4" w:space="0"/>
              <w:bottom w:val="single" w:color="auto" w:sz="4" w:space="0"/>
              <w:right w:val="single" w:color="auto" w:sz="4" w:space="0"/>
            </w:tcBorders>
            <w:noWrap w:val="0"/>
            <w:vAlign w:val="center"/>
          </w:tcPr>
          <w:p w14:paraId="40E0C6D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制度执行  </w:t>
            </w:r>
          </w:p>
          <w:p w14:paraId="3C4E044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有效性</w:t>
            </w:r>
          </w:p>
        </w:tc>
        <w:tc>
          <w:tcPr>
            <w:tcW w:w="7592" w:type="dxa"/>
            <w:tcBorders>
              <w:top w:val="single" w:color="auto" w:sz="4" w:space="0"/>
              <w:left w:val="single" w:color="auto" w:sz="4" w:space="0"/>
              <w:bottom w:val="single" w:color="auto" w:sz="4" w:space="0"/>
              <w:right w:val="single" w:color="auto" w:sz="4" w:space="0"/>
            </w:tcBorders>
            <w:noWrap w:val="0"/>
            <w:vAlign w:val="center"/>
          </w:tcPr>
          <w:p w14:paraId="6A2E485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①能遵守相关法律法规和相关管理规定，考核记录规范、完整，得0.5分；</w:t>
            </w:r>
          </w:p>
          <w:p w14:paraId="073A5639">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②项目调整及支出调整手续完备，得0.5分；</w:t>
            </w:r>
          </w:p>
          <w:p w14:paraId="04A6DCE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③项目实施单位人员条件、设备条件等是否落实到位，得0.5分；</w:t>
            </w:r>
          </w:p>
          <w:p w14:paraId="5F1F6A4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④项目招标资料、合同书、验收或检查报告等资料齐全并及时归档，0.5分；</w:t>
            </w:r>
          </w:p>
          <w:p w14:paraId="1E7F9993">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⑤项目总结（自评）及信息采集报送工作认真、内容完整、详实，得1分。       </w:t>
            </w:r>
          </w:p>
        </w:tc>
        <w:tc>
          <w:tcPr>
            <w:tcW w:w="740" w:type="dxa"/>
            <w:tcBorders>
              <w:top w:val="single" w:color="000000" w:sz="4" w:space="0"/>
              <w:left w:val="single" w:color="auto" w:sz="4" w:space="0"/>
              <w:bottom w:val="single" w:color="000000" w:sz="4" w:space="0"/>
              <w:right w:val="single" w:color="000000" w:sz="4" w:space="0"/>
            </w:tcBorders>
            <w:noWrap w:val="0"/>
            <w:vAlign w:val="center"/>
          </w:tcPr>
          <w:p w14:paraId="1F071F2A">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1C682FE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4A1CE4D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i w:val="0"/>
                <w:iCs w:val="0"/>
                <w:color w:val="000000"/>
                <w:kern w:val="0"/>
                <w:sz w:val="21"/>
                <w:szCs w:val="21"/>
                <w:highlight w:val="none"/>
                <w:u w:val="none"/>
                <w:lang w:val="en-US" w:eastAsia="zh-CN" w:bidi="ar"/>
              </w:rPr>
              <w:t>一是验收资料不齐全。二是通过现场查看，项目实施后的部分拆除物堆落在河道，说明项目在组织实施过程中存在不足。三是项目绩效管理工作不够到位，项目总结、自评等工作不够规范、不够详实。</w:t>
            </w:r>
          </w:p>
        </w:tc>
      </w:tr>
      <w:tr w14:paraId="58E56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93" w:type="dxa"/>
            <w:vMerge w:val="restart"/>
            <w:tcBorders>
              <w:top w:val="single" w:color="000000" w:sz="4" w:space="0"/>
              <w:left w:val="single" w:color="000000" w:sz="4" w:space="0"/>
              <w:bottom w:val="single" w:color="000000" w:sz="4" w:space="0"/>
              <w:right w:val="nil"/>
            </w:tcBorders>
            <w:noWrap w:val="0"/>
            <w:vAlign w:val="center"/>
          </w:tcPr>
          <w:p w14:paraId="6867CBD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w:t>
            </w:r>
          </w:p>
          <w:p w14:paraId="5E92039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13分</w:t>
            </w:r>
          </w:p>
          <w:p w14:paraId="07A09994">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92F758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经济</w:t>
            </w:r>
          </w:p>
          <w:p w14:paraId="18171C37">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w:t>
            </w:r>
          </w:p>
          <w:p w14:paraId="2EE7FE8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 5分</w:t>
            </w:r>
          </w:p>
        </w:tc>
        <w:tc>
          <w:tcPr>
            <w:tcW w:w="1339" w:type="dxa"/>
            <w:tcBorders>
              <w:top w:val="single" w:color="auto" w:sz="4" w:space="0"/>
              <w:left w:val="single" w:color="000000" w:sz="4" w:space="0"/>
              <w:bottom w:val="single" w:color="000000" w:sz="4" w:space="0"/>
              <w:right w:val="single" w:color="000000" w:sz="4" w:space="0"/>
            </w:tcBorders>
            <w:noWrap w:val="0"/>
            <w:vAlign w:val="center"/>
          </w:tcPr>
          <w:p w14:paraId="13D584CA">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单位成本或分项成本节约率</w:t>
            </w:r>
          </w:p>
        </w:tc>
        <w:tc>
          <w:tcPr>
            <w:tcW w:w="7592" w:type="dxa"/>
            <w:tcBorders>
              <w:top w:val="single" w:color="auto" w:sz="4" w:space="0"/>
              <w:left w:val="single" w:color="000000" w:sz="4" w:space="0"/>
              <w:bottom w:val="single" w:color="000000" w:sz="4" w:space="0"/>
              <w:right w:val="single" w:color="000000" w:sz="4" w:space="0"/>
            </w:tcBorders>
            <w:noWrap w:val="0"/>
            <w:vAlign w:val="center"/>
          </w:tcPr>
          <w:p w14:paraId="1295B700">
            <w:pPr>
              <w:keepNext w:val="0"/>
              <w:keepLines w:val="0"/>
              <w:widowControl/>
              <w:suppressLineNumbers w:val="0"/>
              <w:jc w:val="both"/>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成本节约率=[（计划成本-实际成本）/计划成本]×100%。</w:t>
            </w:r>
          </w:p>
          <w:p w14:paraId="5697EE16">
            <w:pPr>
              <w:keepNext w:val="0"/>
              <w:keepLines w:val="0"/>
              <w:widowControl/>
              <w:suppressLineNumbers w:val="0"/>
              <w:jc w:val="both"/>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评分标准：成本节约率＜0不得分；工程建设类等相关项目成本节约率＝0按60%赋基础分（60%×指标分值）；成本节约率≥5%得满分；0%-5%的之间按比重赋分，得分=（60%×指标分值）+（成本节约率×8×指标分值）；其他类项目成本节约率≥0即可得满分</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55F88E0">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1F7773A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0</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163585F2">
            <w:pPr>
              <w:jc w:val="left"/>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成本控制不力，存在超预算资金的现象。</w:t>
            </w:r>
          </w:p>
        </w:tc>
      </w:tr>
      <w:tr w14:paraId="25EBC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12" w:hRule="atLeast"/>
        </w:trPr>
        <w:tc>
          <w:tcPr>
            <w:tcW w:w="493" w:type="dxa"/>
            <w:vMerge w:val="continue"/>
            <w:tcBorders>
              <w:top w:val="single" w:color="000000" w:sz="4" w:space="0"/>
              <w:left w:val="single" w:color="000000" w:sz="4" w:space="0"/>
              <w:bottom w:val="single" w:color="000000" w:sz="4" w:space="0"/>
              <w:right w:val="nil"/>
            </w:tcBorders>
            <w:noWrap w:val="0"/>
            <w:vAlign w:val="center"/>
          </w:tcPr>
          <w:p w14:paraId="5848F859">
            <w:pPr>
              <w:jc w:val="center"/>
              <w:rPr>
                <w:rFonts w:hint="eastAsia" w:ascii="仿宋_GB2312" w:hAnsi="仿宋_GB2312" w:eastAsia="仿宋_GB2312" w:cs="仿宋_GB2312"/>
                <w:i w:val="0"/>
                <w:iCs w:val="0"/>
                <w:color w:val="000000"/>
                <w:sz w:val="21"/>
                <w:szCs w:val="21"/>
                <w:u w:val="none"/>
              </w:rPr>
            </w:pPr>
          </w:p>
        </w:tc>
        <w:tc>
          <w:tcPr>
            <w:tcW w:w="1278" w:type="dxa"/>
            <w:tcBorders>
              <w:top w:val="nil"/>
              <w:left w:val="single" w:color="000000" w:sz="4" w:space="0"/>
              <w:bottom w:val="single" w:color="000000" w:sz="4" w:space="0"/>
              <w:right w:val="single" w:color="000000" w:sz="4" w:space="0"/>
            </w:tcBorders>
            <w:noWrap w:val="0"/>
            <w:vAlign w:val="center"/>
          </w:tcPr>
          <w:p w14:paraId="58781AB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w:t>
            </w:r>
          </w:p>
          <w:p w14:paraId="311D972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成本</w:t>
            </w:r>
          </w:p>
          <w:p w14:paraId="459CBA5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 4分</w:t>
            </w:r>
          </w:p>
        </w:tc>
        <w:tc>
          <w:tcPr>
            <w:tcW w:w="1339" w:type="dxa"/>
            <w:tcBorders>
              <w:top w:val="single" w:color="000000" w:sz="4" w:space="0"/>
              <w:left w:val="single" w:color="000000" w:sz="4" w:space="0"/>
              <w:right w:val="single" w:color="000000" w:sz="4" w:space="0"/>
            </w:tcBorders>
            <w:noWrap w:val="0"/>
            <w:vAlign w:val="center"/>
          </w:tcPr>
          <w:p w14:paraId="62B9DF6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社会发展</w:t>
            </w:r>
          </w:p>
          <w:p w14:paraId="4D278B3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负作用</w:t>
            </w:r>
          </w:p>
        </w:tc>
        <w:tc>
          <w:tcPr>
            <w:tcW w:w="7592" w:type="dxa"/>
            <w:tcBorders>
              <w:top w:val="nil"/>
              <w:left w:val="single" w:color="000000" w:sz="4" w:space="0"/>
              <w:right w:val="single" w:color="000000" w:sz="4" w:space="0"/>
            </w:tcBorders>
            <w:noWrap w:val="0"/>
            <w:vAlign w:val="center"/>
          </w:tcPr>
          <w:p w14:paraId="4B0B3DD4">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项目建设对社会发展的负作用</w:t>
            </w:r>
          </w:p>
          <w:p w14:paraId="07B5E29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lang w:val="en-US"/>
              </w:rPr>
            </w:pPr>
            <w:r>
              <w:rPr>
                <w:rFonts w:hint="eastAsia" w:ascii="仿宋_GB2312" w:hAnsi="仿宋_GB2312" w:eastAsia="仿宋_GB2312" w:cs="仿宋_GB2312"/>
                <w:i w:val="0"/>
                <w:iCs w:val="0"/>
                <w:color w:val="000000"/>
                <w:kern w:val="0"/>
                <w:sz w:val="21"/>
                <w:szCs w:val="21"/>
                <w:u w:val="none"/>
                <w:lang w:val="en-US" w:eastAsia="zh-CN" w:bidi="ar"/>
              </w:rPr>
              <w:t>因本项目无法量化，按评判等级赋分，分为基本达成预期控制目标、部分实现预期控制目标、实现预期控制目标程度较低三个档次，并分别按照该指标对应分值区间100%-80%（含）、80%-60%（含）、60%-0%合理确定分值。</w:t>
            </w:r>
          </w:p>
        </w:tc>
        <w:tc>
          <w:tcPr>
            <w:tcW w:w="740" w:type="dxa"/>
            <w:tcBorders>
              <w:top w:val="single" w:color="000000" w:sz="4" w:space="0"/>
              <w:left w:val="single" w:color="000000" w:sz="4" w:space="0"/>
              <w:right w:val="single" w:color="000000" w:sz="4" w:space="0"/>
            </w:tcBorders>
            <w:noWrap w:val="0"/>
            <w:vAlign w:val="center"/>
          </w:tcPr>
          <w:p w14:paraId="428C4366">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700" w:type="dxa"/>
            <w:tcBorders>
              <w:top w:val="single" w:color="000000" w:sz="4" w:space="0"/>
              <w:left w:val="single" w:color="000000" w:sz="4" w:space="0"/>
              <w:right w:val="single" w:color="000000" w:sz="4" w:space="0"/>
            </w:tcBorders>
            <w:noWrap/>
            <w:vAlign w:val="center"/>
          </w:tcPr>
          <w:p w14:paraId="4584A2D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5B259323">
            <w:pPr>
              <w:jc w:val="left"/>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sz w:val="21"/>
                <w:szCs w:val="21"/>
                <w:highlight w:val="none"/>
                <w:u w:val="none"/>
                <w:lang w:val="en-US" w:eastAsia="zh-CN"/>
              </w:rPr>
              <w:t>项目初期，对群众的宣传解释工作不到位</w:t>
            </w:r>
          </w:p>
        </w:tc>
      </w:tr>
      <w:tr w14:paraId="2A757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3" w:type="dxa"/>
            <w:vMerge w:val="continue"/>
            <w:tcBorders>
              <w:top w:val="single" w:color="000000" w:sz="4" w:space="0"/>
              <w:left w:val="single" w:color="000000" w:sz="4" w:space="0"/>
              <w:bottom w:val="single" w:color="000000" w:sz="4" w:space="0"/>
              <w:right w:val="nil"/>
            </w:tcBorders>
            <w:noWrap w:val="0"/>
            <w:vAlign w:val="center"/>
          </w:tcPr>
          <w:p w14:paraId="5DCB0811">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AFEB0E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生态环境成本</w:t>
            </w:r>
          </w:p>
          <w:p w14:paraId="1911D56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4分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47C7D3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自然生态环境负作用</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235DB43B">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项目建设对生态环境的负作用</w:t>
            </w:r>
          </w:p>
          <w:p w14:paraId="1D5161F0">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因本项目无法量化，按评判等级赋分，分为基本达成目标、部分实现目标、实现目标程度较低三个档次，并分别按照该指标对应分值区间100%-80%（含）、80%-60%（含）、60%-0%合理确定分值。</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0F144FE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10DA244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1F83C2C4">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sz w:val="21"/>
                <w:szCs w:val="21"/>
                <w:highlight w:val="none"/>
                <w:u w:val="none"/>
                <w:lang w:val="en-US" w:eastAsia="zh-CN"/>
              </w:rPr>
              <w:t>未及时清理河道的拆除垃圾，在一定程度上影响了周边生态环境。</w:t>
            </w:r>
          </w:p>
        </w:tc>
      </w:tr>
      <w:tr w14:paraId="4886F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56" w:hRule="atLeast"/>
        </w:trPr>
        <w:tc>
          <w:tcPr>
            <w:tcW w:w="493" w:type="dxa"/>
            <w:vMerge w:val="restart"/>
            <w:tcBorders>
              <w:top w:val="single" w:color="000000" w:sz="4" w:space="0"/>
              <w:left w:val="single" w:color="000000" w:sz="4" w:space="0"/>
              <w:bottom w:val="single" w:color="000000" w:sz="4" w:space="0"/>
              <w:right w:val="single" w:color="000000" w:sz="4" w:space="0"/>
            </w:tcBorders>
            <w:noWrap w:val="0"/>
            <w:vAlign w:val="center"/>
          </w:tcPr>
          <w:p w14:paraId="5B566323">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p>
          <w:p w14:paraId="72CDB1E0">
            <w:pPr>
              <w:pStyle w:val="2"/>
              <w:rPr>
                <w:rFonts w:hint="eastAsia"/>
                <w:lang w:val="en-US" w:eastAsia="zh-CN"/>
              </w:rPr>
            </w:pPr>
          </w:p>
          <w:p w14:paraId="573BA631">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75ED1F80">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25分︶</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3BB9064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7E4728D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数量</w:t>
            </w:r>
          </w:p>
          <w:p w14:paraId="18D16ECF">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480089F1">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项目数量目标完成情况</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66E77CFD">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计算公式：实际完成率=（实际产出数/计划产出数）×100%。</w:t>
            </w:r>
          </w:p>
          <w:p w14:paraId="77C3C10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评分标准：实际完成率小于60%不得分；大于等于60%的按超过的比重赋分，</w:t>
            </w:r>
          </w:p>
          <w:p w14:paraId="6DBA7F41">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得分=（实际完成率-60%）/（1-60%）×指标分值。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6083535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CD920B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5EBCDA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b w:val="0"/>
                <w:bCs w:val="0"/>
                <w:i w:val="0"/>
                <w:iCs w:val="0"/>
                <w:color w:val="000000"/>
                <w:sz w:val="21"/>
                <w:szCs w:val="21"/>
                <w:highlight w:val="none"/>
                <w:u w:val="none"/>
              </w:rPr>
            </w:pPr>
            <w:r>
              <w:rPr>
                <w:rFonts w:hint="eastAsia" w:ascii="仿宋_GB2312" w:hAnsi="仿宋_GB2312" w:eastAsia="仿宋_GB2312" w:cs="仿宋_GB2312"/>
                <w:b w:val="0"/>
                <w:bCs w:val="0"/>
                <w:i w:val="0"/>
                <w:iCs w:val="0"/>
                <w:color w:val="000000"/>
                <w:sz w:val="21"/>
                <w:szCs w:val="21"/>
                <w:highlight w:val="none"/>
                <w:u w:val="none"/>
                <w:lang w:val="en-US" w:eastAsia="zh-CN"/>
              </w:rPr>
              <w:t>本指标无法量化，总体按调查问卷综合百分比赋分。</w:t>
            </w:r>
          </w:p>
        </w:tc>
      </w:tr>
      <w:tr w14:paraId="72591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3"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96AB85">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5F95D73D">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38AA377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质量</w:t>
            </w:r>
          </w:p>
          <w:p w14:paraId="7B2BD802">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10分</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0F5AE6E9">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项目质量目标完成情况</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696AAB8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计算公式：质量达标率=（质量达标产出数/实际产出数）×100%。</w:t>
            </w:r>
          </w:p>
          <w:p w14:paraId="7F5D0FF1">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评分标准：质量达标率小于60%不得分；大于等于60%的按超过的比重赋分，</w:t>
            </w:r>
          </w:p>
          <w:p w14:paraId="0DF299B6">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得分=（质量达标率-60%）/（1-60%）×指标分值。                                                                 （项目验收质量合格情况、现场查验质量情况及其它相关资料）。</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0F553147">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2865D55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30A2C784">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本指标无法量化，总体按调查问卷综合百分比赋分。</w:t>
            </w:r>
          </w:p>
        </w:tc>
      </w:tr>
      <w:tr w14:paraId="125CC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6" w:hRule="atLeast"/>
        </w:trPr>
        <w:tc>
          <w:tcPr>
            <w:tcW w:w="493" w:type="dxa"/>
            <w:vMerge w:val="continue"/>
            <w:tcBorders>
              <w:top w:val="single" w:color="000000" w:sz="4" w:space="0"/>
              <w:left w:val="single" w:color="000000" w:sz="4" w:space="0"/>
              <w:bottom w:val="single" w:color="auto" w:sz="4" w:space="0"/>
              <w:right w:val="single" w:color="000000" w:sz="4" w:space="0"/>
            </w:tcBorders>
            <w:noWrap w:val="0"/>
            <w:vAlign w:val="center"/>
          </w:tcPr>
          <w:p w14:paraId="3CB0DD62">
            <w:pPr>
              <w:jc w:val="center"/>
              <w:rPr>
                <w:rFonts w:hint="eastAsia" w:ascii="仿宋_GB2312" w:hAnsi="仿宋_GB2312" w:eastAsia="仿宋_GB2312" w:cs="仿宋_GB2312"/>
                <w:i w:val="0"/>
                <w:iCs w:val="0"/>
                <w:color w:val="000000"/>
                <w:sz w:val="21"/>
                <w:szCs w:val="21"/>
                <w:u w:val="none"/>
              </w:rPr>
            </w:pPr>
          </w:p>
        </w:tc>
        <w:tc>
          <w:tcPr>
            <w:tcW w:w="1278" w:type="dxa"/>
            <w:tcBorders>
              <w:top w:val="nil"/>
              <w:left w:val="single" w:color="000000" w:sz="4" w:space="0"/>
              <w:bottom w:val="single" w:color="auto" w:sz="4" w:space="0"/>
              <w:right w:val="single" w:color="000000" w:sz="4" w:space="0"/>
            </w:tcBorders>
            <w:noWrap w:val="0"/>
            <w:vAlign w:val="center"/>
          </w:tcPr>
          <w:p w14:paraId="4E72A48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产出</w:t>
            </w:r>
          </w:p>
          <w:p w14:paraId="0921EA9F">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时效</w:t>
            </w:r>
          </w:p>
          <w:p w14:paraId="0F0EE506">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5分</w:t>
            </w:r>
          </w:p>
        </w:tc>
        <w:tc>
          <w:tcPr>
            <w:tcW w:w="1339" w:type="dxa"/>
            <w:tcBorders>
              <w:top w:val="nil"/>
              <w:left w:val="single" w:color="000000" w:sz="4" w:space="0"/>
              <w:bottom w:val="single" w:color="auto" w:sz="4" w:space="0"/>
              <w:right w:val="single" w:color="000000" w:sz="4" w:space="0"/>
            </w:tcBorders>
            <w:noWrap w:val="0"/>
            <w:vAlign w:val="center"/>
          </w:tcPr>
          <w:p w14:paraId="36E3F1AB">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项目按期完成情况</w:t>
            </w:r>
          </w:p>
        </w:tc>
        <w:tc>
          <w:tcPr>
            <w:tcW w:w="7592" w:type="dxa"/>
            <w:tcBorders>
              <w:top w:val="single" w:color="000000" w:sz="4" w:space="0"/>
              <w:left w:val="single" w:color="000000" w:sz="4" w:space="0"/>
              <w:bottom w:val="single" w:color="auto" w:sz="4" w:space="0"/>
              <w:right w:val="single" w:color="000000" w:sz="4" w:space="0"/>
            </w:tcBorders>
            <w:noWrap w:val="0"/>
            <w:vAlign w:val="center"/>
          </w:tcPr>
          <w:p w14:paraId="275D641F">
            <w:pPr>
              <w:keepNext w:val="0"/>
              <w:keepLines w:val="0"/>
              <w:widowControl/>
              <w:suppressLineNumbers w:val="0"/>
              <w:jc w:val="left"/>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 xml:space="preserve">全部按期完成目标得5分；部分按期实现目标得4-2分（含）；按期实现目标程度较低得2-0分。          </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04FC165E">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w:t>
            </w:r>
          </w:p>
        </w:tc>
        <w:tc>
          <w:tcPr>
            <w:tcW w:w="700" w:type="dxa"/>
            <w:tcBorders>
              <w:top w:val="single" w:color="000000" w:sz="4" w:space="0"/>
              <w:left w:val="single" w:color="000000" w:sz="4" w:space="0"/>
              <w:bottom w:val="single" w:color="000000" w:sz="4" w:space="0"/>
              <w:right w:val="single" w:color="000000" w:sz="4" w:space="0"/>
            </w:tcBorders>
            <w:noWrap/>
            <w:vAlign w:val="center"/>
          </w:tcPr>
          <w:p w14:paraId="62A56392">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3422A4C1">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延期完工</w:t>
            </w:r>
          </w:p>
        </w:tc>
      </w:tr>
      <w:tr w14:paraId="6F31B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493" w:type="dxa"/>
            <w:vMerge w:val="restart"/>
            <w:tcBorders>
              <w:top w:val="single" w:color="auto" w:sz="4" w:space="0"/>
              <w:left w:val="single" w:color="auto" w:sz="4" w:space="0"/>
              <w:right w:val="single" w:color="auto" w:sz="4" w:space="0"/>
            </w:tcBorders>
            <w:noWrap w:val="0"/>
            <w:vAlign w:val="center"/>
          </w:tcPr>
          <w:p w14:paraId="1E2FC609">
            <w:pPr>
              <w:keepNext w:val="0"/>
              <w:keepLines w:val="0"/>
              <w:widowControl/>
              <w:suppressLineNumbers w:val="0"/>
              <w:spacing w:after="180" w:afterAutospacing="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sz w:val="21"/>
                <w:szCs w:val="21"/>
                <w:u w:val="none"/>
                <w:lang w:val="en-US" w:eastAsia="zh-CN"/>
              </w:rPr>
              <w:t>效益</w:t>
            </w:r>
            <w:r>
              <w:rPr>
                <w:rFonts w:hint="eastAsia" w:ascii="仿宋_GB2312" w:hAnsi="仿宋_GB2312" w:eastAsia="仿宋_GB2312" w:cs="仿宋_GB2312"/>
                <w:i w:val="0"/>
                <w:iCs w:val="0"/>
                <w:color w:val="000000"/>
                <w:kern w:val="0"/>
                <w:sz w:val="21"/>
                <w:szCs w:val="21"/>
                <w:u w:val="none"/>
                <w:lang w:val="en-US" w:eastAsia="zh-CN" w:bidi="ar"/>
              </w:rPr>
              <w:t>︵</w:t>
            </w:r>
          </w:p>
          <w:p w14:paraId="44C1011F">
            <w:pPr>
              <w:jc w:val="center"/>
              <w:rPr>
                <w:rFonts w:hint="eastAsia" w:ascii="仿宋_GB2312" w:hAnsi="仿宋_GB2312" w:eastAsia="仿宋_GB2312" w:cs="仿宋_GB2312"/>
                <w:i w:val="0"/>
                <w:iCs w:val="0"/>
                <w:color w:val="000000"/>
                <w:sz w:val="21"/>
                <w:szCs w:val="21"/>
                <w:u w:val="none"/>
                <w:lang w:val="en-US" w:eastAsia="zh-CN"/>
              </w:rPr>
            </w:pPr>
            <w:r>
              <w:rPr>
                <w:rFonts w:hint="eastAsia" w:ascii="仿宋_GB2312" w:hAnsi="仿宋_GB2312" w:eastAsia="仿宋_GB2312" w:cs="仿宋_GB2312"/>
                <w:i w:val="0"/>
                <w:iCs w:val="0"/>
                <w:color w:val="000000"/>
                <w:kern w:val="0"/>
                <w:sz w:val="21"/>
                <w:szCs w:val="21"/>
                <w:u w:val="none"/>
                <w:lang w:val="en-US" w:eastAsia="zh-CN" w:bidi="ar"/>
              </w:rPr>
              <w:t>35分︶</w:t>
            </w:r>
          </w:p>
        </w:tc>
        <w:tc>
          <w:tcPr>
            <w:tcW w:w="1278" w:type="dxa"/>
            <w:vMerge w:val="restart"/>
            <w:tcBorders>
              <w:top w:val="single" w:color="auto" w:sz="4" w:space="0"/>
              <w:left w:val="single" w:color="auto" w:sz="4" w:space="0"/>
              <w:bottom w:val="single" w:color="auto" w:sz="4" w:space="0"/>
              <w:right w:val="single" w:color="auto" w:sz="4" w:space="0"/>
            </w:tcBorders>
            <w:noWrap w:val="0"/>
            <w:vAlign w:val="center"/>
          </w:tcPr>
          <w:p w14:paraId="5BC8D58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w:t>
            </w:r>
          </w:p>
          <w:p w14:paraId="6C7B218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效益</w:t>
            </w:r>
          </w:p>
          <w:p w14:paraId="17B4067C">
            <w:pPr>
              <w:keepNext w:val="0"/>
              <w:keepLines w:val="0"/>
              <w:widowControl/>
              <w:suppressLineNumbers w:val="0"/>
              <w:jc w:val="center"/>
              <w:textAlignment w:val="center"/>
              <w:rPr>
                <w:rFonts w:hint="eastAsia" w:ascii="仿宋_GB2312" w:hAnsi="仿宋_GB2312" w:eastAsia="仿宋_GB2312" w:cs="仿宋_GB2312"/>
                <w:i w:val="0"/>
                <w:iCs w:val="0"/>
                <w:color w:val="000000"/>
                <w:sz w:val="21"/>
                <w:szCs w:val="21"/>
                <w:u w:val="none"/>
              </w:rPr>
            </w:pPr>
            <w:r>
              <w:rPr>
                <w:rFonts w:hint="eastAsia" w:ascii="仿宋_GB2312" w:hAnsi="仿宋_GB2312" w:eastAsia="仿宋_GB2312" w:cs="仿宋_GB2312"/>
                <w:i w:val="0"/>
                <w:iCs w:val="0"/>
                <w:color w:val="000000"/>
                <w:kern w:val="0"/>
                <w:sz w:val="21"/>
                <w:szCs w:val="21"/>
                <w:u w:val="none"/>
                <w:lang w:val="en-US" w:eastAsia="zh-CN" w:bidi="ar"/>
              </w:rPr>
              <w:t>12分</w:t>
            </w:r>
          </w:p>
        </w:tc>
        <w:tc>
          <w:tcPr>
            <w:tcW w:w="1339" w:type="dxa"/>
            <w:tcBorders>
              <w:top w:val="single" w:color="auto" w:sz="4" w:space="0"/>
              <w:left w:val="single" w:color="auto" w:sz="4" w:space="0"/>
              <w:bottom w:val="single" w:color="000000" w:sz="4" w:space="0"/>
              <w:right w:val="single" w:color="000000" w:sz="4" w:space="0"/>
            </w:tcBorders>
            <w:noWrap w:val="0"/>
            <w:vAlign w:val="center"/>
          </w:tcPr>
          <w:p w14:paraId="32B9D632">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改善受灾群众居住条件情况</w:t>
            </w:r>
          </w:p>
        </w:tc>
        <w:tc>
          <w:tcPr>
            <w:tcW w:w="7592" w:type="dxa"/>
            <w:tcBorders>
              <w:top w:val="single" w:color="auto" w:sz="4" w:space="0"/>
              <w:left w:val="single" w:color="000000" w:sz="4" w:space="0"/>
              <w:bottom w:val="single" w:color="000000" w:sz="4" w:space="0"/>
              <w:right w:val="single" w:color="000000" w:sz="4" w:space="0"/>
            </w:tcBorders>
            <w:noWrap w:val="0"/>
            <w:vAlign w:val="center"/>
          </w:tcPr>
          <w:p w14:paraId="2B61429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改善受灾群众居住条件</w:t>
            </w:r>
            <w:r>
              <w:rPr>
                <w:rFonts w:hint="eastAsia" w:ascii="仿宋_GB2312" w:hAnsi="仿宋_GB2312" w:eastAsia="仿宋_GB2312" w:cs="仿宋_GB2312"/>
                <w:color w:val="auto"/>
                <w:kern w:val="2"/>
                <w:sz w:val="21"/>
                <w:szCs w:val="21"/>
                <w:highlight w:val="none"/>
                <w:vertAlign w:val="baseline"/>
                <w:lang w:val="en-US" w:eastAsia="zh-CN" w:bidi="ar-SA"/>
              </w:rPr>
              <w:t>情况</w:t>
            </w:r>
            <w:r>
              <w:rPr>
                <w:rFonts w:hint="eastAsia" w:ascii="仿宋_GB2312" w:hAnsi="仿宋_GB2312" w:eastAsia="仿宋_GB2312" w:cs="仿宋_GB2312"/>
                <w:i w:val="0"/>
                <w:iCs w:val="0"/>
                <w:color w:val="000000"/>
                <w:kern w:val="0"/>
                <w:sz w:val="21"/>
                <w:szCs w:val="21"/>
                <w:u w:val="none"/>
                <w:lang w:val="en-US" w:eastAsia="zh-CN" w:bidi="ar"/>
              </w:rPr>
              <w:t>，4分。                                                                       注：按评判等级赋分，分效果非常显著、显著、一般三个档次，并分别按照该指标对应分值区间100%-80%（含）、80%-60%（含）、60%-0%合理确定分值。</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3DA05E98">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23FE9973">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6F0C3037">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14F2B3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164A6A4B">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2D568618">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auto" w:sz="4" w:space="0"/>
              <w:bottom w:val="single" w:color="000000" w:sz="4" w:space="0"/>
              <w:right w:val="single" w:color="000000" w:sz="4" w:space="0"/>
            </w:tcBorders>
            <w:noWrap w:val="0"/>
            <w:vAlign w:val="center"/>
          </w:tcPr>
          <w:p w14:paraId="49E95183">
            <w:pPr>
              <w:pStyle w:val="3"/>
              <w:keepNext w:val="0"/>
              <w:keepLines w:val="0"/>
              <w:pageBreakBefore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保障沿岸农户生命财产安全情况</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5D7DF9A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保障沿岸农户生命财产安全情况，4分。</w:t>
            </w:r>
          </w:p>
          <w:p w14:paraId="0194E6F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注：按评判等级赋分，分效果非常显著、显著、一般三个档次，并分别按照该指标对应分值区间100%-80%（含）、80%-60%（含）、60%-0%合理确定分值。</w:t>
            </w: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4A81AAFF">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06FF7CC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37A3EE6D">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15EB7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512A0033">
            <w:pPr>
              <w:jc w:val="center"/>
              <w:rPr>
                <w:rFonts w:hint="eastAsia" w:ascii="仿宋_GB2312" w:hAnsi="仿宋_GB2312" w:eastAsia="仿宋_GB2312" w:cs="仿宋_GB2312"/>
                <w:i w:val="0"/>
                <w:iCs w:val="0"/>
                <w:color w:val="000000"/>
                <w:sz w:val="21"/>
                <w:szCs w:val="21"/>
                <w:u w:val="none"/>
              </w:rPr>
            </w:pPr>
          </w:p>
        </w:tc>
        <w:tc>
          <w:tcPr>
            <w:tcW w:w="1278" w:type="dxa"/>
            <w:vMerge w:val="continue"/>
            <w:tcBorders>
              <w:top w:val="single" w:color="auto" w:sz="4" w:space="0"/>
              <w:left w:val="single" w:color="auto" w:sz="4" w:space="0"/>
              <w:bottom w:val="single" w:color="auto" w:sz="4" w:space="0"/>
              <w:right w:val="single" w:color="auto" w:sz="4" w:space="0"/>
            </w:tcBorders>
            <w:noWrap w:val="0"/>
            <w:vAlign w:val="center"/>
          </w:tcPr>
          <w:p w14:paraId="7A1AABD2">
            <w:pPr>
              <w:jc w:val="center"/>
              <w:rPr>
                <w:rFonts w:hint="eastAsia" w:ascii="仿宋_GB2312" w:hAnsi="仿宋_GB2312" w:eastAsia="仿宋_GB2312" w:cs="仿宋_GB2312"/>
                <w:i w:val="0"/>
                <w:iCs w:val="0"/>
                <w:color w:val="000000"/>
                <w:sz w:val="21"/>
                <w:szCs w:val="21"/>
                <w:u w:val="none"/>
              </w:rPr>
            </w:pPr>
          </w:p>
        </w:tc>
        <w:tc>
          <w:tcPr>
            <w:tcW w:w="1339" w:type="dxa"/>
            <w:tcBorders>
              <w:top w:val="single" w:color="000000" w:sz="4" w:space="0"/>
              <w:left w:val="single" w:color="auto" w:sz="4" w:space="0"/>
              <w:bottom w:val="single" w:color="000000" w:sz="4" w:space="0"/>
              <w:right w:val="single" w:color="000000" w:sz="4" w:space="0"/>
            </w:tcBorders>
            <w:noWrap w:val="0"/>
            <w:vAlign w:val="center"/>
          </w:tcPr>
          <w:p w14:paraId="69DD58F2">
            <w:pPr>
              <w:pStyle w:val="3"/>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改善当地的投资环境作用情况</w:t>
            </w: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6AD95CE0">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color w:val="auto"/>
                <w:kern w:val="2"/>
                <w:sz w:val="21"/>
                <w:szCs w:val="21"/>
                <w:highlight w:val="none"/>
                <w:vertAlign w:val="baseline"/>
                <w:lang w:val="en-US" w:eastAsia="zh-CN" w:bidi="ar-SA"/>
              </w:rPr>
              <w:t>改善当地的投资环境作用情况</w:t>
            </w:r>
            <w:r>
              <w:rPr>
                <w:rFonts w:hint="eastAsia" w:ascii="仿宋_GB2312" w:hAnsi="仿宋_GB2312" w:eastAsia="仿宋_GB2312" w:cs="仿宋_GB2312"/>
                <w:i w:val="0"/>
                <w:iCs w:val="0"/>
                <w:color w:val="000000"/>
                <w:kern w:val="0"/>
                <w:sz w:val="21"/>
                <w:szCs w:val="21"/>
                <w:u w:val="none"/>
                <w:lang w:val="en-US" w:eastAsia="zh-CN" w:bidi="ar"/>
              </w:rPr>
              <w:t>，4分。                                                                         注：按评判等级赋分，分效果非常显著、显著、一般三个档次，并分别按照该指标对应分值区间100%-80%（含）、80%-60%（含）、60%-0%合理确定分值。</w:t>
            </w:r>
          </w:p>
        </w:tc>
        <w:tc>
          <w:tcPr>
            <w:tcW w:w="740" w:type="dxa"/>
            <w:tcBorders>
              <w:top w:val="single" w:color="000000" w:sz="4" w:space="0"/>
              <w:left w:val="single" w:color="000000" w:sz="4" w:space="0"/>
              <w:bottom w:val="single" w:color="auto" w:sz="4" w:space="0"/>
              <w:right w:val="single" w:color="000000" w:sz="4" w:space="0"/>
            </w:tcBorders>
            <w:noWrap w:val="0"/>
            <w:vAlign w:val="center"/>
          </w:tcPr>
          <w:p w14:paraId="1BC5AEBB">
            <w:pPr>
              <w:keepNext w:val="0"/>
              <w:keepLines w:val="0"/>
              <w:widowControl/>
              <w:suppressLineNumbers w:val="0"/>
              <w:jc w:val="center"/>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1BD5D59A">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4</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0B08CAF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p>
        </w:tc>
      </w:tr>
      <w:tr w14:paraId="283BC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8"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5F9C8E84">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14:paraId="1904785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生态效益</w:t>
            </w:r>
          </w:p>
          <w:p w14:paraId="28FF54FC">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（5分）</w:t>
            </w:r>
          </w:p>
        </w:tc>
        <w:tc>
          <w:tcPr>
            <w:tcW w:w="1339" w:type="dxa"/>
            <w:tcBorders>
              <w:top w:val="single" w:color="000000" w:sz="4" w:space="0"/>
              <w:left w:val="single" w:color="auto" w:sz="4" w:space="0"/>
              <w:bottom w:val="single" w:color="auto" w:sz="4" w:space="0"/>
              <w:right w:val="single" w:color="000000" w:sz="4" w:space="0"/>
            </w:tcBorders>
            <w:noWrap w:val="0"/>
            <w:vAlign w:val="center"/>
          </w:tcPr>
          <w:p w14:paraId="600A7CC9">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生态效益情况</w:t>
            </w:r>
          </w:p>
        </w:tc>
        <w:tc>
          <w:tcPr>
            <w:tcW w:w="7592" w:type="dxa"/>
            <w:tcBorders>
              <w:top w:val="single" w:color="000000" w:sz="4" w:space="0"/>
              <w:left w:val="single" w:color="000000" w:sz="4" w:space="0"/>
              <w:bottom w:val="single" w:color="auto" w:sz="4" w:space="0"/>
              <w:right w:val="single" w:color="auto" w:sz="4" w:space="0"/>
            </w:tcBorders>
            <w:noWrap w:val="0"/>
            <w:vAlign w:val="center"/>
          </w:tcPr>
          <w:p w14:paraId="2492D636">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项目生态环境保护情况。</w:t>
            </w:r>
          </w:p>
          <w:p w14:paraId="7CABF33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 xml:space="preserve">因本指标无法量化，按评判等级赋分，分为基本达成目标、部分实现目标、实现目标程度较低三个档次，并分别按照该指标对应分值区间100%-80%（含）、80%-60%（含）、60%-0%合理确定分值。 </w:t>
            </w:r>
          </w:p>
        </w:tc>
        <w:tc>
          <w:tcPr>
            <w:tcW w:w="7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E0CDAF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000000"/>
                <w:sz w:val="21"/>
                <w:szCs w:val="21"/>
                <w:highlight w:val="none"/>
                <w:lang w:val="en-US" w:eastAsia="zh-CN"/>
              </w:rPr>
              <w:t>5</w:t>
            </w:r>
          </w:p>
        </w:tc>
        <w:tc>
          <w:tcPr>
            <w:tcW w:w="700" w:type="dxa"/>
            <w:tcBorders>
              <w:top w:val="single" w:color="000000" w:sz="4" w:space="0"/>
              <w:left w:val="single" w:color="auto" w:sz="4" w:space="0"/>
              <w:bottom w:val="single" w:color="auto" w:sz="4" w:space="0"/>
              <w:right w:val="single" w:color="000000" w:sz="4" w:space="0"/>
            </w:tcBorders>
            <w:shd w:val="clear" w:color="auto" w:fill="auto"/>
            <w:noWrap w:val="0"/>
            <w:vAlign w:val="center"/>
          </w:tcPr>
          <w:p w14:paraId="7BA33E20">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4.5</w:t>
            </w:r>
          </w:p>
        </w:tc>
        <w:tc>
          <w:tcPr>
            <w:tcW w:w="2160" w:type="dxa"/>
            <w:tcBorders>
              <w:top w:val="single" w:color="000000" w:sz="4" w:space="0"/>
              <w:left w:val="single" w:color="000000" w:sz="4" w:space="0"/>
              <w:bottom w:val="single" w:color="auto" w:sz="4" w:space="0"/>
              <w:right w:val="single" w:color="000000" w:sz="4" w:space="0"/>
            </w:tcBorders>
            <w:noWrap w:val="0"/>
            <w:vAlign w:val="center"/>
          </w:tcPr>
          <w:p w14:paraId="7FD57097">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本指标无法量化，总体按调查问卷综合百分比赋分。</w:t>
            </w:r>
          </w:p>
        </w:tc>
      </w:tr>
      <w:tr w14:paraId="01E94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8"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16122D92">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14:paraId="33C37960">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可持续影响（5分）</w:t>
            </w:r>
          </w:p>
        </w:tc>
        <w:tc>
          <w:tcPr>
            <w:tcW w:w="1339" w:type="dxa"/>
            <w:tcBorders>
              <w:top w:val="single" w:color="auto" w:sz="4" w:space="0"/>
              <w:left w:val="single" w:color="auto" w:sz="4" w:space="0"/>
              <w:bottom w:val="single" w:color="auto" w:sz="4" w:space="0"/>
              <w:right w:val="single" w:color="000000" w:sz="4" w:space="0"/>
            </w:tcBorders>
            <w:noWrap w:val="0"/>
            <w:vAlign w:val="center"/>
          </w:tcPr>
          <w:p w14:paraId="65ACA36B">
            <w:pPr>
              <w:keepNext w:val="0"/>
              <w:keepLines w:val="0"/>
              <w:widowControl/>
              <w:suppressLineNumbers w:val="0"/>
              <w:jc w:val="center"/>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项目长效运管及可持续发展情况</w:t>
            </w:r>
          </w:p>
        </w:tc>
        <w:tc>
          <w:tcPr>
            <w:tcW w:w="7592" w:type="dxa"/>
            <w:tcBorders>
              <w:top w:val="single" w:color="auto" w:sz="4" w:space="0"/>
              <w:left w:val="single" w:color="000000" w:sz="4" w:space="0"/>
              <w:bottom w:val="single" w:color="auto" w:sz="4" w:space="0"/>
              <w:right w:val="single" w:color="auto" w:sz="4" w:space="0"/>
            </w:tcBorders>
            <w:noWrap w:val="0"/>
            <w:vAlign w:val="center"/>
          </w:tcPr>
          <w:p w14:paraId="0C00D57A">
            <w:pPr>
              <w:keepNext w:val="0"/>
              <w:keepLines w:val="0"/>
              <w:widowControl/>
              <w:suppressLineNumbers w:val="0"/>
              <w:jc w:val="left"/>
              <w:textAlignment w:val="center"/>
              <w:rPr>
                <w:rFonts w:hint="eastAsia" w:ascii="仿宋_GB2312" w:hAnsi="仿宋_GB2312" w:eastAsia="仿宋_GB2312" w:cs="仿宋_GB2312"/>
                <w:i w:val="0"/>
                <w:iCs w:val="0"/>
                <w:color w:val="auto"/>
                <w:kern w:val="0"/>
                <w:sz w:val="21"/>
                <w:szCs w:val="21"/>
                <w:u w:val="none"/>
                <w:lang w:val="en-US" w:eastAsia="zh-CN" w:bidi="ar"/>
              </w:rPr>
            </w:pPr>
            <w:r>
              <w:rPr>
                <w:rFonts w:hint="eastAsia" w:ascii="仿宋_GB2312" w:hAnsi="仿宋_GB2312" w:eastAsia="仿宋_GB2312" w:cs="仿宋_GB2312"/>
                <w:i w:val="0"/>
                <w:iCs w:val="0"/>
                <w:color w:val="auto"/>
                <w:kern w:val="0"/>
                <w:sz w:val="21"/>
                <w:szCs w:val="21"/>
                <w:u w:val="none"/>
                <w:lang w:val="en-US" w:eastAsia="zh-CN" w:bidi="ar"/>
              </w:rPr>
              <w:t>因本指标无法量化，按评判等级赋分，分为基本达成目标、部分实现目标、实现目标程度较低三个档次，并分别按照该指标对应分值区间100%-80%（含）、80%-60%（含）、60%-0%合理确定分值。</w:t>
            </w:r>
          </w:p>
        </w:tc>
        <w:tc>
          <w:tcPr>
            <w:tcW w:w="740"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1BAA9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auto"/>
                <w:kern w:val="0"/>
                <w:sz w:val="21"/>
                <w:szCs w:val="21"/>
                <w:highlight w:val="none"/>
                <w:u w:val="none"/>
                <w:lang w:val="en-US" w:eastAsia="zh-CN" w:bidi="ar"/>
              </w:rPr>
            </w:pPr>
            <w:r>
              <w:rPr>
                <w:rFonts w:hint="eastAsia" w:ascii="仿宋_GB2312" w:hAnsi="仿宋_GB2312" w:eastAsia="仿宋_GB2312" w:cs="仿宋_GB2312"/>
                <w:b w:val="0"/>
                <w:bCs w:val="0"/>
                <w:color w:val="auto"/>
                <w:sz w:val="21"/>
                <w:szCs w:val="21"/>
                <w:highlight w:val="none"/>
                <w:lang w:val="en-US" w:eastAsia="zh-CN"/>
              </w:rPr>
              <w:t>5</w:t>
            </w:r>
          </w:p>
        </w:tc>
        <w:tc>
          <w:tcPr>
            <w:tcW w:w="700" w:type="dxa"/>
            <w:tcBorders>
              <w:top w:val="single" w:color="auto" w:sz="4" w:space="0"/>
              <w:left w:val="single" w:color="auto" w:sz="4" w:space="0"/>
              <w:bottom w:val="single" w:color="auto" w:sz="4" w:space="0"/>
              <w:right w:val="single" w:color="000000" w:sz="4" w:space="0"/>
            </w:tcBorders>
            <w:shd w:val="clear" w:color="auto" w:fill="auto"/>
            <w:noWrap w:val="0"/>
            <w:vAlign w:val="center"/>
          </w:tcPr>
          <w:p w14:paraId="26BE3856">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w:t>
            </w:r>
          </w:p>
        </w:tc>
        <w:tc>
          <w:tcPr>
            <w:tcW w:w="2160" w:type="dxa"/>
            <w:tcBorders>
              <w:top w:val="single" w:color="auto" w:sz="4" w:space="0"/>
              <w:left w:val="single" w:color="000000" w:sz="4" w:space="0"/>
              <w:bottom w:val="single" w:color="auto" w:sz="4" w:space="0"/>
              <w:right w:val="single" w:color="auto" w:sz="4" w:space="0"/>
            </w:tcBorders>
            <w:noWrap w:val="0"/>
            <w:vAlign w:val="center"/>
          </w:tcPr>
          <w:p w14:paraId="3153BECE">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项目建成后长效管护机制尚不健全。</w:t>
            </w:r>
          </w:p>
        </w:tc>
      </w:tr>
      <w:tr w14:paraId="51BD2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493" w:type="dxa"/>
            <w:vMerge w:val="continue"/>
            <w:tcBorders>
              <w:top w:val="single" w:color="auto" w:sz="4" w:space="0"/>
              <w:left w:val="single" w:color="auto" w:sz="4" w:space="0"/>
              <w:bottom w:val="single" w:color="auto" w:sz="4" w:space="0"/>
              <w:right w:val="single" w:color="auto" w:sz="4" w:space="0"/>
            </w:tcBorders>
            <w:noWrap w:val="0"/>
            <w:vAlign w:val="center"/>
          </w:tcPr>
          <w:p w14:paraId="505D327F">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14:paraId="0E67EC61">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受表彰情况</w:t>
            </w:r>
          </w:p>
          <w:p w14:paraId="608D3D8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（3分）</w:t>
            </w:r>
          </w:p>
        </w:tc>
        <w:tc>
          <w:tcPr>
            <w:tcW w:w="1339" w:type="dxa"/>
            <w:tcBorders>
              <w:top w:val="single" w:color="auto" w:sz="4" w:space="0"/>
              <w:left w:val="single" w:color="auto" w:sz="4" w:space="0"/>
              <w:bottom w:val="single" w:color="000000" w:sz="4" w:space="0"/>
              <w:right w:val="single" w:color="000000" w:sz="4" w:space="0"/>
            </w:tcBorders>
            <w:noWrap w:val="0"/>
            <w:vAlign w:val="center"/>
          </w:tcPr>
          <w:p w14:paraId="4408A34B">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是否受到上级表彰</w:t>
            </w:r>
          </w:p>
        </w:tc>
        <w:tc>
          <w:tcPr>
            <w:tcW w:w="7592" w:type="dxa"/>
            <w:tcBorders>
              <w:top w:val="single" w:color="auto" w:sz="4" w:space="0"/>
              <w:left w:val="single" w:color="000000" w:sz="4" w:space="0"/>
              <w:bottom w:val="single" w:color="000000" w:sz="4" w:space="0"/>
              <w:right w:val="single" w:color="000000" w:sz="4" w:space="0"/>
            </w:tcBorders>
            <w:noWrap w:val="0"/>
            <w:vAlign w:val="center"/>
          </w:tcPr>
          <w:p w14:paraId="643A5AAF">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①项目相关工作受到国家级表彰奖励得3分；</w:t>
            </w:r>
          </w:p>
          <w:p w14:paraId="400D2E8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②项目相关工作受到省级表彰奖励得2分；</w:t>
            </w:r>
          </w:p>
          <w:p w14:paraId="787D6028">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③项目相关工作受到市级表彰奖励得1分；</w:t>
            </w:r>
          </w:p>
          <w:p w14:paraId="74717A47">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④未受到表彰奖励不得分。</w:t>
            </w:r>
          </w:p>
        </w:tc>
        <w:tc>
          <w:tcPr>
            <w:tcW w:w="740" w:type="dxa"/>
            <w:tcBorders>
              <w:top w:val="single" w:color="auto" w:sz="4" w:space="0"/>
              <w:left w:val="single" w:color="000000" w:sz="4" w:space="0"/>
              <w:bottom w:val="single" w:color="000000" w:sz="4" w:space="0"/>
              <w:right w:val="single" w:color="000000" w:sz="4" w:space="0"/>
            </w:tcBorders>
            <w:noWrap w:val="0"/>
            <w:vAlign w:val="center"/>
          </w:tcPr>
          <w:p w14:paraId="58BB7A55">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auto"/>
                <w:sz w:val="21"/>
                <w:szCs w:val="21"/>
                <w:highlight w:val="none"/>
                <w:lang w:val="en-US" w:eastAsia="zh-CN"/>
              </w:rPr>
              <w:t>3</w:t>
            </w:r>
          </w:p>
        </w:tc>
        <w:tc>
          <w:tcPr>
            <w:tcW w:w="700" w:type="dxa"/>
            <w:tcBorders>
              <w:top w:val="single" w:color="auto" w:sz="4" w:space="0"/>
              <w:left w:val="single" w:color="000000" w:sz="4" w:space="0"/>
              <w:bottom w:val="single" w:color="000000" w:sz="4" w:space="0"/>
              <w:right w:val="single" w:color="000000" w:sz="4" w:space="0"/>
            </w:tcBorders>
            <w:noWrap w:val="0"/>
            <w:vAlign w:val="center"/>
          </w:tcPr>
          <w:p w14:paraId="7028000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0</w:t>
            </w:r>
          </w:p>
        </w:tc>
        <w:tc>
          <w:tcPr>
            <w:tcW w:w="2160" w:type="dxa"/>
            <w:tcBorders>
              <w:top w:val="single" w:color="auto" w:sz="4" w:space="0"/>
              <w:left w:val="single" w:color="000000" w:sz="4" w:space="0"/>
              <w:bottom w:val="single" w:color="000000" w:sz="4" w:space="0"/>
              <w:right w:val="single" w:color="000000" w:sz="4" w:space="0"/>
            </w:tcBorders>
            <w:noWrap w:val="0"/>
            <w:vAlign w:val="center"/>
          </w:tcPr>
          <w:p w14:paraId="6F0A42D0">
            <w:pPr>
              <w:keepNext w:val="0"/>
              <w:keepLines w:val="0"/>
              <w:widowControl/>
              <w:suppressLineNumbers w:val="0"/>
              <w:jc w:val="left"/>
              <w:textAlignment w:val="center"/>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i w:val="0"/>
                <w:iCs w:val="0"/>
                <w:color w:val="000000"/>
                <w:kern w:val="0"/>
                <w:sz w:val="21"/>
                <w:szCs w:val="21"/>
                <w:highlight w:val="none"/>
                <w:u w:val="none"/>
                <w:lang w:val="en-US" w:eastAsia="zh-CN" w:bidi="ar"/>
              </w:rPr>
              <w:t>相关工作未受到市级以上表彰奖励</w:t>
            </w:r>
          </w:p>
        </w:tc>
      </w:tr>
      <w:tr w14:paraId="3C332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0" w:hRule="atLeast"/>
        </w:trPr>
        <w:tc>
          <w:tcPr>
            <w:tcW w:w="493" w:type="dxa"/>
            <w:vMerge w:val="continue"/>
            <w:tcBorders>
              <w:top w:val="single" w:color="auto" w:sz="4" w:space="0"/>
              <w:left w:val="single" w:color="auto" w:sz="4" w:space="0"/>
              <w:bottom w:val="nil"/>
              <w:right w:val="single" w:color="000000" w:sz="4" w:space="0"/>
            </w:tcBorders>
            <w:noWrap w:val="0"/>
            <w:vAlign w:val="center"/>
          </w:tcPr>
          <w:p w14:paraId="2C5885AF">
            <w:pPr>
              <w:jc w:val="center"/>
              <w:rPr>
                <w:rFonts w:hint="eastAsia" w:ascii="仿宋_GB2312" w:hAnsi="仿宋_GB2312" w:eastAsia="仿宋_GB2312" w:cs="仿宋_GB2312"/>
                <w:i w:val="0"/>
                <w:iCs w:val="0"/>
                <w:color w:val="000000"/>
                <w:sz w:val="21"/>
                <w:szCs w:val="21"/>
                <w:u w:val="none"/>
              </w:rPr>
            </w:pPr>
          </w:p>
        </w:tc>
        <w:tc>
          <w:tcPr>
            <w:tcW w:w="1278" w:type="dxa"/>
            <w:tcBorders>
              <w:top w:val="single" w:color="auto" w:sz="4" w:space="0"/>
              <w:left w:val="single" w:color="000000" w:sz="4" w:space="0"/>
              <w:bottom w:val="nil"/>
              <w:right w:val="single" w:color="000000" w:sz="4" w:space="0"/>
            </w:tcBorders>
            <w:noWrap w:val="0"/>
            <w:vAlign w:val="center"/>
          </w:tcPr>
          <w:p w14:paraId="788DE9DE">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社会公众满意度</w:t>
            </w:r>
          </w:p>
          <w:p w14:paraId="09969828">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（10分）</w:t>
            </w:r>
          </w:p>
        </w:tc>
        <w:tc>
          <w:tcPr>
            <w:tcW w:w="1339" w:type="dxa"/>
            <w:tcBorders>
              <w:top w:val="single" w:color="000000" w:sz="4" w:space="0"/>
              <w:left w:val="single" w:color="000000" w:sz="4" w:space="0"/>
              <w:bottom w:val="nil"/>
              <w:right w:val="single" w:color="000000" w:sz="4" w:space="0"/>
            </w:tcBorders>
            <w:noWrap w:val="0"/>
            <w:vAlign w:val="center"/>
          </w:tcPr>
          <w:p w14:paraId="57C30F65">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社会公众                   满意度</w:t>
            </w:r>
          </w:p>
          <w:p w14:paraId="4FCB24C0">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10分</w:t>
            </w:r>
          </w:p>
        </w:tc>
        <w:tc>
          <w:tcPr>
            <w:tcW w:w="7592" w:type="dxa"/>
            <w:tcBorders>
              <w:top w:val="single" w:color="000000" w:sz="4" w:space="0"/>
              <w:left w:val="single" w:color="000000" w:sz="4" w:space="0"/>
              <w:bottom w:val="nil"/>
              <w:right w:val="single" w:color="000000" w:sz="4" w:space="0"/>
            </w:tcBorders>
            <w:noWrap w:val="0"/>
            <w:vAlign w:val="center"/>
          </w:tcPr>
          <w:p w14:paraId="580B0D23">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1"/>
                <w:szCs w:val="21"/>
                <w:highlight w:val="none"/>
                <w:u w:val="none"/>
                <w:lang w:val="en-US" w:eastAsia="zh-CN" w:bidi="ar"/>
              </w:rPr>
            </w:pPr>
            <w:r>
              <w:rPr>
                <w:rFonts w:hint="eastAsia" w:ascii="仿宋_GB2312" w:hAnsi="仿宋_GB2312" w:eastAsia="仿宋_GB2312" w:cs="仿宋_GB2312"/>
                <w:i w:val="0"/>
                <w:iCs w:val="0"/>
                <w:color w:val="000000"/>
                <w:kern w:val="0"/>
                <w:sz w:val="21"/>
                <w:szCs w:val="21"/>
                <w:highlight w:val="none"/>
                <w:u w:val="none"/>
                <w:lang w:val="en-US" w:eastAsia="zh-CN" w:bidi="ar"/>
              </w:rPr>
              <w:t>社会公众满意度，10分                                                                                                  注：根据对社会公众满意度调查问卷赋分，得分=社会公众满意率×指标分值</w:t>
            </w:r>
          </w:p>
        </w:tc>
        <w:tc>
          <w:tcPr>
            <w:tcW w:w="740" w:type="dxa"/>
            <w:tcBorders>
              <w:top w:val="single" w:color="000000" w:sz="4" w:space="0"/>
              <w:left w:val="single" w:color="000000" w:sz="4" w:space="0"/>
              <w:bottom w:val="nil"/>
              <w:right w:val="single" w:color="000000" w:sz="4" w:space="0"/>
            </w:tcBorders>
            <w:noWrap w:val="0"/>
            <w:vAlign w:val="center"/>
          </w:tcPr>
          <w:p w14:paraId="2249317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b w:val="0"/>
                <w:bCs w:val="0"/>
                <w:i w:val="0"/>
                <w:iCs w:val="0"/>
                <w:color w:val="000000"/>
                <w:kern w:val="0"/>
                <w:sz w:val="21"/>
                <w:szCs w:val="21"/>
                <w:highlight w:val="none"/>
                <w:u w:val="none"/>
                <w:lang w:val="en-US" w:eastAsia="zh-CN" w:bidi="ar"/>
              </w:rPr>
            </w:pPr>
            <w:r>
              <w:rPr>
                <w:rFonts w:hint="eastAsia" w:ascii="仿宋_GB2312" w:hAnsi="仿宋_GB2312" w:eastAsia="仿宋_GB2312" w:cs="仿宋_GB2312"/>
                <w:b w:val="0"/>
                <w:bCs w:val="0"/>
                <w:color w:val="auto"/>
                <w:sz w:val="21"/>
                <w:szCs w:val="21"/>
                <w:highlight w:val="none"/>
                <w:lang w:val="en-US" w:eastAsia="zh-CN"/>
              </w:rPr>
              <w:t>10</w:t>
            </w:r>
          </w:p>
        </w:tc>
        <w:tc>
          <w:tcPr>
            <w:tcW w:w="700" w:type="dxa"/>
            <w:tcBorders>
              <w:top w:val="single" w:color="000000" w:sz="4" w:space="0"/>
              <w:left w:val="single" w:color="000000" w:sz="4" w:space="0"/>
              <w:bottom w:val="nil"/>
              <w:right w:val="single" w:color="000000" w:sz="4" w:space="0"/>
            </w:tcBorders>
            <w:noWrap/>
            <w:vAlign w:val="center"/>
          </w:tcPr>
          <w:p w14:paraId="4D73D62B">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1"/>
                <w:szCs w:val="21"/>
                <w:u w:val="none"/>
                <w:lang w:val="en-US" w:eastAsia="zh-CN" w:bidi="ar"/>
              </w:rPr>
            </w:pPr>
            <w:r>
              <w:rPr>
                <w:rFonts w:hint="eastAsia" w:ascii="仿宋_GB2312" w:hAnsi="仿宋_GB2312" w:eastAsia="仿宋_GB2312" w:cs="仿宋_GB2312"/>
                <w:i w:val="0"/>
                <w:iCs w:val="0"/>
                <w:color w:val="000000"/>
                <w:kern w:val="0"/>
                <w:sz w:val="21"/>
                <w:szCs w:val="21"/>
                <w:u w:val="none"/>
                <w:lang w:val="en-US" w:eastAsia="zh-CN" w:bidi="ar"/>
              </w:rPr>
              <w:t>9.7</w:t>
            </w:r>
          </w:p>
        </w:tc>
        <w:tc>
          <w:tcPr>
            <w:tcW w:w="2160" w:type="dxa"/>
            <w:tcBorders>
              <w:top w:val="single" w:color="000000" w:sz="4" w:space="0"/>
              <w:left w:val="single" w:color="000000" w:sz="4" w:space="0"/>
              <w:bottom w:val="nil"/>
              <w:right w:val="single" w:color="000000" w:sz="4" w:space="0"/>
            </w:tcBorders>
            <w:noWrap w:val="0"/>
            <w:vAlign w:val="center"/>
          </w:tcPr>
          <w:p w14:paraId="301CC8BD">
            <w:pPr>
              <w:jc w:val="left"/>
              <w:rPr>
                <w:rFonts w:hint="eastAsia" w:ascii="仿宋_GB2312" w:hAnsi="仿宋_GB2312" w:eastAsia="仿宋_GB2312" w:cs="仿宋_GB2312"/>
                <w:b w:val="0"/>
                <w:bCs w:val="0"/>
                <w:i w:val="0"/>
                <w:iCs w:val="0"/>
                <w:color w:val="000000"/>
                <w:sz w:val="21"/>
                <w:szCs w:val="21"/>
                <w:highlight w:val="none"/>
                <w:u w:val="none"/>
                <w:lang w:val="en-US" w:eastAsia="zh-CN"/>
              </w:rPr>
            </w:pPr>
            <w:r>
              <w:rPr>
                <w:rFonts w:hint="eastAsia" w:ascii="仿宋_GB2312" w:hAnsi="仿宋_GB2312" w:eastAsia="仿宋_GB2312" w:cs="仿宋_GB2312"/>
                <w:b w:val="0"/>
                <w:bCs w:val="0"/>
                <w:i w:val="0"/>
                <w:iCs w:val="0"/>
                <w:color w:val="000000"/>
                <w:sz w:val="21"/>
                <w:szCs w:val="21"/>
                <w:highlight w:val="none"/>
                <w:u w:val="none"/>
                <w:lang w:val="en-US" w:eastAsia="zh-CN"/>
              </w:rPr>
              <w:t>调查问卷综合结果</w:t>
            </w:r>
          </w:p>
        </w:tc>
      </w:tr>
      <w:tr w14:paraId="307B9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93" w:type="dxa"/>
            <w:tcBorders>
              <w:top w:val="single" w:color="000000" w:sz="4" w:space="0"/>
              <w:left w:val="single" w:color="000000" w:sz="4" w:space="0"/>
              <w:bottom w:val="single" w:color="000000" w:sz="4" w:space="0"/>
              <w:right w:val="single" w:color="000000" w:sz="4" w:space="0"/>
            </w:tcBorders>
            <w:noWrap w:val="0"/>
            <w:vAlign w:val="center"/>
          </w:tcPr>
          <w:p w14:paraId="646CBFD3">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总分</w:t>
            </w:r>
          </w:p>
        </w:tc>
        <w:tc>
          <w:tcPr>
            <w:tcW w:w="1278" w:type="dxa"/>
            <w:tcBorders>
              <w:top w:val="single" w:color="000000" w:sz="4" w:space="0"/>
              <w:left w:val="single" w:color="000000" w:sz="4" w:space="0"/>
              <w:bottom w:val="single" w:color="000000" w:sz="4" w:space="0"/>
              <w:right w:val="single" w:color="000000" w:sz="4" w:space="0"/>
            </w:tcBorders>
            <w:noWrap w:val="0"/>
            <w:vAlign w:val="center"/>
          </w:tcPr>
          <w:p w14:paraId="649F6667">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kern w:val="0"/>
                <w:sz w:val="21"/>
                <w:szCs w:val="21"/>
                <w:u w:val="none"/>
                <w:lang w:val="en-US" w:eastAsia="zh-CN" w:bidi="ar"/>
              </w:rPr>
              <w:t>100</w:t>
            </w:r>
          </w:p>
        </w:tc>
        <w:tc>
          <w:tcPr>
            <w:tcW w:w="1339" w:type="dxa"/>
            <w:tcBorders>
              <w:top w:val="single" w:color="000000" w:sz="4" w:space="0"/>
              <w:left w:val="single" w:color="000000" w:sz="4" w:space="0"/>
              <w:bottom w:val="single" w:color="000000" w:sz="4" w:space="0"/>
              <w:right w:val="single" w:color="000000" w:sz="4" w:space="0"/>
            </w:tcBorders>
            <w:noWrap w:val="0"/>
            <w:vAlign w:val="center"/>
          </w:tcPr>
          <w:p w14:paraId="2B3A50D3">
            <w:pPr>
              <w:jc w:val="center"/>
              <w:rPr>
                <w:rFonts w:hint="eastAsia" w:ascii="仿宋_GB2312" w:hAnsi="仿宋_GB2312" w:eastAsia="仿宋_GB2312" w:cs="仿宋_GB2312"/>
                <w:b/>
                <w:bCs/>
                <w:i w:val="0"/>
                <w:iCs w:val="0"/>
                <w:color w:val="000000"/>
                <w:sz w:val="21"/>
                <w:szCs w:val="21"/>
                <w:u w:val="none"/>
              </w:rPr>
            </w:pPr>
          </w:p>
        </w:tc>
        <w:tc>
          <w:tcPr>
            <w:tcW w:w="7592" w:type="dxa"/>
            <w:tcBorders>
              <w:top w:val="single" w:color="000000" w:sz="4" w:space="0"/>
              <w:left w:val="single" w:color="000000" w:sz="4" w:space="0"/>
              <w:bottom w:val="single" w:color="000000" w:sz="4" w:space="0"/>
              <w:right w:val="single" w:color="000000" w:sz="4" w:space="0"/>
            </w:tcBorders>
            <w:noWrap w:val="0"/>
            <w:vAlign w:val="center"/>
          </w:tcPr>
          <w:p w14:paraId="78CEFDB9">
            <w:pPr>
              <w:jc w:val="both"/>
              <w:rPr>
                <w:rFonts w:hint="eastAsia" w:ascii="仿宋_GB2312" w:hAnsi="仿宋_GB2312" w:eastAsia="仿宋_GB2312" w:cs="仿宋_GB2312"/>
                <w:i w:val="0"/>
                <w:iCs w:val="0"/>
                <w:color w:val="000000"/>
                <w:sz w:val="21"/>
                <w:szCs w:val="21"/>
                <w:u w:val="none"/>
              </w:rPr>
            </w:pPr>
          </w:p>
        </w:tc>
        <w:tc>
          <w:tcPr>
            <w:tcW w:w="740" w:type="dxa"/>
            <w:tcBorders>
              <w:top w:val="single" w:color="000000" w:sz="4" w:space="0"/>
              <w:left w:val="single" w:color="000000" w:sz="4" w:space="0"/>
              <w:bottom w:val="single" w:color="000000" w:sz="4" w:space="0"/>
              <w:right w:val="single" w:color="000000" w:sz="4" w:space="0"/>
            </w:tcBorders>
            <w:noWrap w:val="0"/>
            <w:vAlign w:val="center"/>
          </w:tcPr>
          <w:p w14:paraId="54FFCCBB">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1"/>
                <w:szCs w:val="21"/>
                <w:u w:val="none"/>
              </w:rPr>
            </w:pPr>
            <w:r>
              <w:rPr>
                <w:rFonts w:hint="eastAsia" w:ascii="仿宋_GB2312" w:hAnsi="仿宋_GB2312" w:eastAsia="仿宋_GB2312" w:cs="仿宋_GB2312"/>
                <w:b/>
                <w:bCs/>
                <w:i w:val="0"/>
                <w:iCs w:val="0"/>
                <w:color w:val="000000"/>
                <w:sz w:val="21"/>
                <w:szCs w:val="21"/>
                <w:u w:val="none"/>
              </w:rPr>
              <w:fldChar w:fldCharType="begin"/>
            </w:r>
            <w:r>
              <w:rPr>
                <w:rFonts w:hint="eastAsia" w:ascii="仿宋_GB2312" w:hAnsi="仿宋_GB2312" w:eastAsia="仿宋_GB2312" w:cs="仿宋_GB2312"/>
                <w:b/>
                <w:bCs/>
                <w:i w:val="0"/>
                <w:iCs w:val="0"/>
                <w:color w:val="000000"/>
                <w:sz w:val="21"/>
                <w:szCs w:val="21"/>
                <w:u w:val="none"/>
              </w:rPr>
              <w:instrText xml:space="preserve"> = sum(E4:E30) \* MERGEFORMAT </w:instrText>
            </w:r>
            <w:r>
              <w:rPr>
                <w:rFonts w:hint="eastAsia" w:ascii="仿宋_GB2312" w:hAnsi="仿宋_GB2312" w:eastAsia="仿宋_GB2312" w:cs="仿宋_GB2312"/>
                <w:b/>
                <w:bCs/>
                <w:i w:val="0"/>
                <w:iCs w:val="0"/>
                <w:color w:val="000000"/>
                <w:sz w:val="21"/>
                <w:szCs w:val="21"/>
                <w:u w:val="none"/>
              </w:rPr>
              <w:fldChar w:fldCharType="separate"/>
            </w:r>
            <w:r>
              <w:rPr>
                <w:rFonts w:hint="eastAsia" w:ascii="仿宋_GB2312" w:hAnsi="仿宋_GB2312" w:eastAsia="仿宋_GB2312" w:cs="仿宋_GB2312"/>
                <w:b/>
                <w:bCs/>
                <w:i w:val="0"/>
                <w:iCs w:val="0"/>
                <w:color w:val="000000"/>
                <w:sz w:val="21"/>
                <w:szCs w:val="21"/>
                <w:u w:val="none"/>
              </w:rPr>
              <w:t>100</w:t>
            </w:r>
            <w:r>
              <w:rPr>
                <w:rFonts w:hint="eastAsia" w:ascii="仿宋_GB2312" w:hAnsi="仿宋_GB2312" w:eastAsia="仿宋_GB2312" w:cs="仿宋_GB2312"/>
                <w:b/>
                <w:bCs/>
                <w:i w:val="0"/>
                <w:iCs w:val="0"/>
                <w:color w:val="000000"/>
                <w:sz w:val="21"/>
                <w:szCs w:val="21"/>
                <w:u w:val="none"/>
              </w:rPr>
              <w:fldChar w:fldCharType="end"/>
            </w:r>
          </w:p>
        </w:tc>
        <w:tc>
          <w:tcPr>
            <w:tcW w:w="700" w:type="dxa"/>
            <w:tcBorders>
              <w:top w:val="single" w:color="000000" w:sz="4" w:space="0"/>
              <w:left w:val="single" w:color="000000" w:sz="4" w:space="0"/>
              <w:bottom w:val="single" w:color="000000" w:sz="4" w:space="0"/>
              <w:right w:val="single" w:color="000000" w:sz="4" w:space="0"/>
            </w:tcBorders>
            <w:noWrap w:val="0"/>
            <w:vAlign w:val="center"/>
          </w:tcPr>
          <w:p w14:paraId="27D97450">
            <w:pPr>
              <w:keepNext w:val="0"/>
              <w:keepLines w:val="0"/>
              <w:widowControl/>
              <w:suppressLineNumbers w:val="0"/>
              <w:jc w:val="center"/>
              <w:textAlignment w:val="center"/>
              <w:rPr>
                <w:rFonts w:hint="default" w:ascii="仿宋_GB2312" w:hAnsi="仿宋_GB2312" w:eastAsia="仿宋_GB2312" w:cs="仿宋_GB2312"/>
                <w:b/>
                <w:bCs/>
                <w:i w:val="0"/>
                <w:iCs w:val="0"/>
                <w:color w:val="000000"/>
                <w:kern w:val="0"/>
                <w:sz w:val="21"/>
                <w:szCs w:val="21"/>
                <w:u w:val="none"/>
                <w:lang w:val="en-US" w:eastAsia="zh-CN" w:bidi="ar"/>
              </w:rPr>
            </w:pPr>
            <w:r>
              <w:rPr>
                <w:rFonts w:hint="eastAsia" w:ascii="仿宋_GB2312" w:hAnsi="仿宋_GB2312" w:eastAsia="仿宋_GB2312" w:cs="仿宋_GB2312"/>
                <w:b/>
                <w:bCs/>
                <w:i w:val="0"/>
                <w:iCs w:val="0"/>
                <w:color w:val="000000"/>
                <w:kern w:val="0"/>
                <w:sz w:val="21"/>
                <w:szCs w:val="21"/>
                <w:u w:val="none"/>
                <w:lang w:val="en-US" w:eastAsia="zh-CN" w:bidi="ar"/>
              </w:rPr>
              <w:t>80.5</w:t>
            </w:r>
          </w:p>
        </w:tc>
        <w:tc>
          <w:tcPr>
            <w:tcW w:w="2160" w:type="dxa"/>
            <w:tcBorders>
              <w:top w:val="single" w:color="000000" w:sz="4" w:space="0"/>
              <w:left w:val="single" w:color="000000" w:sz="4" w:space="0"/>
              <w:bottom w:val="single" w:color="000000" w:sz="4" w:space="0"/>
              <w:right w:val="single" w:color="000000" w:sz="4" w:space="0"/>
            </w:tcBorders>
            <w:noWrap w:val="0"/>
            <w:vAlign w:val="center"/>
          </w:tcPr>
          <w:p w14:paraId="72661F66">
            <w:pPr>
              <w:jc w:val="left"/>
              <w:rPr>
                <w:rFonts w:hint="eastAsia" w:ascii="仿宋_GB2312" w:hAnsi="仿宋_GB2312" w:eastAsia="仿宋_GB2312" w:cs="仿宋_GB2312"/>
                <w:b/>
                <w:bCs/>
                <w:i w:val="0"/>
                <w:iCs w:val="0"/>
                <w:color w:val="000000"/>
                <w:sz w:val="21"/>
                <w:szCs w:val="21"/>
                <w:u w:val="none"/>
              </w:rPr>
            </w:pPr>
          </w:p>
        </w:tc>
      </w:tr>
      <w:bookmarkEnd w:id="1"/>
    </w:tbl>
    <w:p w14:paraId="145E1FD0">
      <w:pPr>
        <w:bidi w:val="0"/>
        <w:rPr>
          <w:rFonts w:ascii="Times New Roman" w:hAnsi="Times New Roman" w:eastAsia="宋体" w:cs="Times New Roman"/>
          <w:kern w:val="2"/>
          <w:sz w:val="21"/>
          <w:lang w:val="en-US" w:eastAsia="zh-CN" w:bidi="ar-SA"/>
        </w:rPr>
      </w:pPr>
    </w:p>
    <w:p w14:paraId="752669D8">
      <w:pPr>
        <w:bidi w:val="0"/>
        <w:rPr>
          <w:lang w:val="en-US" w:eastAsia="zh-CN"/>
        </w:rPr>
      </w:pPr>
    </w:p>
    <w:p w14:paraId="6AF2AC5E">
      <w:pPr>
        <w:bidi w:val="0"/>
        <w:rPr>
          <w:lang w:val="en-US" w:eastAsia="zh-CN"/>
        </w:rPr>
      </w:pPr>
    </w:p>
    <w:p w14:paraId="3290AC87">
      <w:pPr>
        <w:bidi w:val="0"/>
        <w:rPr>
          <w:lang w:val="en-US" w:eastAsia="zh-CN"/>
        </w:rPr>
      </w:pPr>
    </w:p>
    <w:p w14:paraId="296C276F">
      <w:pPr>
        <w:tabs>
          <w:tab w:val="left" w:pos="1410"/>
        </w:tabs>
        <w:bidi w:val="0"/>
        <w:jc w:val="left"/>
        <w:rPr>
          <w:lang w:val="en-US" w:eastAsia="zh-CN"/>
        </w:rPr>
      </w:pPr>
    </w:p>
    <w:sectPr>
      <w:footerReference r:id="rId11" w:type="default"/>
      <w:pgSz w:w="16838" w:h="11906" w:orient="landscape"/>
      <w:pgMar w:top="1701" w:right="1417" w:bottom="1559"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opperplate Gothic Bold">
    <w:panose1 w:val="020E0705020206020404"/>
    <w:charset w:val="00"/>
    <w:family w:val="swiss"/>
    <w:pitch w:val="default"/>
    <w:sig w:usb0="00000003" w:usb1="00000000" w:usb2="00000000" w:usb3="00000000" w:csb0="20000001" w:csb1="00000000"/>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KSOF4B1AA1F4">
    <w:panose1 w:val="020000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F1C8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D21D7F">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4D21D7F">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938C8">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483B77">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0483B77">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A6CA4">
    <w:pPr>
      <w:pStyle w:val="11"/>
      <w:rPr>
        <w:rFonts w:hint="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3FA794F">
                          <w:pPr>
                            <w:pStyle w:val="11"/>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23FA794F">
                    <w:pPr>
                      <w:pStyle w:val="11"/>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2</w:t>
                    </w:r>
                    <w:r>
                      <w:rPr>
                        <w:sz w:val="24"/>
                        <w:szCs w:val="24"/>
                      </w:rPr>
                      <w:fldChar w:fldCharType="end"/>
                    </w:r>
                    <w:r>
                      <w:rPr>
                        <w:sz w:val="24"/>
                        <w:szCs w:val="24"/>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A8DED9">
    <w:pPr>
      <w:pStyle w:val="11"/>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CF1008">
                          <w:pPr>
                            <w:pStyle w:val="11"/>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1FCF1008">
                    <w:pPr>
                      <w:pStyle w:val="11"/>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20010B">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6A5F6">
    <w:pPr>
      <w:pStyle w:val="12"/>
      <w:pBdr>
        <w:bottom w:val="single" w:color="auto" w:sz="4" w:space="1"/>
      </w:pBdr>
      <w:jc w:val="both"/>
      <w:rPr>
        <w:rFonts w:hint="eastAsia" w:ascii="仿宋" w:hAnsi="仿宋" w:eastAsia="仿宋" w:cs="仿宋"/>
        <w:sz w:val="22"/>
        <w:szCs w:val="22"/>
      </w:rPr>
    </w:pPr>
    <w:r>
      <w:rPr>
        <w:rFonts w:hint="eastAsia" w:ascii="仿宋" w:hAnsi="仿宋" w:eastAsia="仿宋" w:cs="仿宋"/>
        <w:sz w:val="22"/>
        <w:szCs w:val="22"/>
        <w:lang w:eastAsia="zh-CN"/>
      </w:rPr>
      <w:t xml:space="preserve">  扶风县高层次医疗人才引进资金项目</w:t>
    </w:r>
    <w:r>
      <w:rPr>
        <w:rFonts w:hint="eastAsia" w:ascii="仿宋" w:hAnsi="仿宋" w:eastAsia="仿宋" w:cs="仿宋"/>
        <w:sz w:val="22"/>
        <w:szCs w:val="22"/>
      </w:rPr>
      <w:t>绩效评价报告</w:t>
    </w:r>
  </w:p>
  <w:p w14:paraId="798C32A4">
    <w:pPr>
      <w:pStyle w:val="12"/>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D0328B">
    <w:pPr>
      <w:pStyle w:val="12"/>
      <w:pBdr>
        <w:top w:val="none" w:color="auto" w:sz="0" w:space="0"/>
        <w:left w:val="none" w:color="auto" w:sz="0" w:space="0"/>
        <w:bottom w:val="none" w:color="auto" w:sz="0" w:space="1"/>
        <w:right w:val="none" w:color="auto" w:sz="0" w:space="0"/>
        <w:between w:val="none" w:color="auto" w:sz="0" w:space="0"/>
      </w:pBdr>
      <w:jc w:val="both"/>
      <w:rPr>
        <w:rFonts w:hint="eastAsia" w:ascii="仿宋" w:hAnsi="仿宋" w:eastAsia="仿宋" w:cs="仿宋"/>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63096F">
    <w:pPr>
      <w:pStyle w:val="12"/>
      <w:pBdr>
        <w:top w:val="none" w:color="auto" w:sz="0" w:space="0"/>
        <w:left w:val="none" w:color="auto" w:sz="0" w:space="0"/>
        <w:bottom w:val="none" w:color="auto" w:sz="0" w:space="1"/>
        <w:right w:val="none" w:color="auto" w:sz="0" w:space="0"/>
        <w:between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CD0CE1">
    <w:pPr>
      <w:pStyle w:val="12"/>
      <w:pBdr>
        <w:top w:val="none" w:color="auto" w:sz="0" w:space="0"/>
        <w:left w:val="none" w:color="auto" w:sz="0" w:space="0"/>
        <w:bottom w:val="none" w:color="auto" w:sz="0" w:space="1"/>
        <w:right w:val="none" w:color="auto" w:sz="0" w:space="0"/>
        <w:between w:val="none" w:color="auto" w:sz="0" w:space="0"/>
      </w:pBd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4YzRkZDY2NGU0MGNmYzJjMTYzMmE4M2NkM2VjMmUifQ=="/>
  </w:docVars>
  <w:rsids>
    <w:rsidRoot w:val="38E37B57"/>
    <w:rsid w:val="00A3295D"/>
    <w:rsid w:val="010F3B4F"/>
    <w:rsid w:val="01CB01B3"/>
    <w:rsid w:val="02505A83"/>
    <w:rsid w:val="026A7A48"/>
    <w:rsid w:val="028326B0"/>
    <w:rsid w:val="02CE489B"/>
    <w:rsid w:val="04A74525"/>
    <w:rsid w:val="04D46B3B"/>
    <w:rsid w:val="0516539A"/>
    <w:rsid w:val="05FB0B46"/>
    <w:rsid w:val="062F259D"/>
    <w:rsid w:val="06B46C77"/>
    <w:rsid w:val="072916E2"/>
    <w:rsid w:val="07ED65E2"/>
    <w:rsid w:val="08935065"/>
    <w:rsid w:val="08BD38CE"/>
    <w:rsid w:val="09CF031F"/>
    <w:rsid w:val="0A167172"/>
    <w:rsid w:val="0A5B1BB3"/>
    <w:rsid w:val="0A682522"/>
    <w:rsid w:val="0A914B0F"/>
    <w:rsid w:val="0B3568A8"/>
    <w:rsid w:val="0B3A5C6C"/>
    <w:rsid w:val="0BBA5318"/>
    <w:rsid w:val="0BE502CE"/>
    <w:rsid w:val="0C086845"/>
    <w:rsid w:val="0C300E1D"/>
    <w:rsid w:val="0D0F4ED6"/>
    <w:rsid w:val="0DD56120"/>
    <w:rsid w:val="0E2E3EEC"/>
    <w:rsid w:val="0E6D6359"/>
    <w:rsid w:val="0EB65F51"/>
    <w:rsid w:val="0F0071D6"/>
    <w:rsid w:val="0FFF56D6"/>
    <w:rsid w:val="10E2302E"/>
    <w:rsid w:val="11223F48"/>
    <w:rsid w:val="11C12C43"/>
    <w:rsid w:val="120606BD"/>
    <w:rsid w:val="12930008"/>
    <w:rsid w:val="13D1738A"/>
    <w:rsid w:val="13E42C19"/>
    <w:rsid w:val="13ED7CA3"/>
    <w:rsid w:val="13EE3A98"/>
    <w:rsid w:val="13F974EB"/>
    <w:rsid w:val="13FF5CA5"/>
    <w:rsid w:val="148368D6"/>
    <w:rsid w:val="14BA1BCC"/>
    <w:rsid w:val="14D94748"/>
    <w:rsid w:val="160740CC"/>
    <w:rsid w:val="170D2D91"/>
    <w:rsid w:val="17DD454F"/>
    <w:rsid w:val="18773C95"/>
    <w:rsid w:val="187F73B4"/>
    <w:rsid w:val="1883031B"/>
    <w:rsid w:val="188B4249"/>
    <w:rsid w:val="18B93457"/>
    <w:rsid w:val="190B3B8C"/>
    <w:rsid w:val="19120D79"/>
    <w:rsid w:val="19E72434"/>
    <w:rsid w:val="19EE1B79"/>
    <w:rsid w:val="1A330456"/>
    <w:rsid w:val="1A6714B9"/>
    <w:rsid w:val="1A82318C"/>
    <w:rsid w:val="1B925F89"/>
    <w:rsid w:val="1C1F63B7"/>
    <w:rsid w:val="1C2A5889"/>
    <w:rsid w:val="1C7714BC"/>
    <w:rsid w:val="1C7A7141"/>
    <w:rsid w:val="1E8F7C25"/>
    <w:rsid w:val="1F047590"/>
    <w:rsid w:val="1F75506D"/>
    <w:rsid w:val="1F7F7C9A"/>
    <w:rsid w:val="204F3B10"/>
    <w:rsid w:val="20BA367F"/>
    <w:rsid w:val="213D7E0C"/>
    <w:rsid w:val="21717AB6"/>
    <w:rsid w:val="23733FB9"/>
    <w:rsid w:val="25034EC9"/>
    <w:rsid w:val="252E0198"/>
    <w:rsid w:val="256242E5"/>
    <w:rsid w:val="25822292"/>
    <w:rsid w:val="258C3110"/>
    <w:rsid w:val="25EA2DD8"/>
    <w:rsid w:val="269B185D"/>
    <w:rsid w:val="26A96726"/>
    <w:rsid w:val="26AD333E"/>
    <w:rsid w:val="26CC5BD5"/>
    <w:rsid w:val="2744709E"/>
    <w:rsid w:val="27695189"/>
    <w:rsid w:val="277D5407"/>
    <w:rsid w:val="28447CD2"/>
    <w:rsid w:val="291B489A"/>
    <w:rsid w:val="294429D3"/>
    <w:rsid w:val="294A30C6"/>
    <w:rsid w:val="297B5976"/>
    <w:rsid w:val="299C5AE8"/>
    <w:rsid w:val="29C6788A"/>
    <w:rsid w:val="2A225DF1"/>
    <w:rsid w:val="2AB60BB7"/>
    <w:rsid w:val="2AF27EBA"/>
    <w:rsid w:val="2C4C53A8"/>
    <w:rsid w:val="2C697D08"/>
    <w:rsid w:val="2CF14F59"/>
    <w:rsid w:val="2D526117"/>
    <w:rsid w:val="2D8F19F0"/>
    <w:rsid w:val="2E652751"/>
    <w:rsid w:val="2FAA2B11"/>
    <w:rsid w:val="2FE51D9B"/>
    <w:rsid w:val="306B3002"/>
    <w:rsid w:val="31AD0696"/>
    <w:rsid w:val="31D077C5"/>
    <w:rsid w:val="326E06BF"/>
    <w:rsid w:val="332C4476"/>
    <w:rsid w:val="340605AC"/>
    <w:rsid w:val="34107796"/>
    <w:rsid w:val="34607C42"/>
    <w:rsid w:val="3522139B"/>
    <w:rsid w:val="35337105"/>
    <w:rsid w:val="35B11171"/>
    <w:rsid w:val="35D02213"/>
    <w:rsid w:val="365F4CCA"/>
    <w:rsid w:val="37782855"/>
    <w:rsid w:val="379F0A81"/>
    <w:rsid w:val="381476C1"/>
    <w:rsid w:val="38AB665B"/>
    <w:rsid w:val="38E37B57"/>
    <w:rsid w:val="38F17A02"/>
    <w:rsid w:val="3950297B"/>
    <w:rsid w:val="3A0B571B"/>
    <w:rsid w:val="3A6A5138"/>
    <w:rsid w:val="3BAA7A58"/>
    <w:rsid w:val="3BC202C0"/>
    <w:rsid w:val="3CF578B9"/>
    <w:rsid w:val="3CFD28A5"/>
    <w:rsid w:val="3D5C444A"/>
    <w:rsid w:val="3D840E45"/>
    <w:rsid w:val="3DBA0E43"/>
    <w:rsid w:val="3DBD7EB3"/>
    <w:rsid w:val="3F400D9C"/>
    <w:rsid w:val="3F6B1FEB"/>
    <w:rsid w:val="3FC36FF6"/>
    <w:rsid w:val="3FD634AE"/>
    <w:rsid w:val="3FFF0C57"/>
    <w:rsid w:val="403D352D"/>
    <w:rsid w:val="409972F6"/>
    <w:rsid w:val="40E842A1"/>
    <w:rsid w:val="41824619"/>
    <w:rsid w:val="418331C2"/>
    <w:rsid w:val="41FD11C6"/>
    <w:rsid w:val="42206C63"/>
    <w:rsid w:val="424A412C"/>
    <w:rsid w:val="428C4071"/>
    <w:rsid w:val="43AF1927"/>
    <w:rsid w:val="43C95804"/>
    <w:rsid w:val="43CD6976"/>
    <w:rsid w:val="44556AD5"/>
    <w:rsid w:val="447D4C24"/>
    <w:rsid w:val="44927617"/>
    <w:rsid w:val="45997458"/>
    <w:rsid w:val="45B56CCC"/>
    <w:rsid w:val="45D903A1"/>
    <w:rsid w:val="463351B6"/>
    <w:rsid w:val="463B22BD"/>
    <w:rsid w:val="46796351"/>
    <w:rsid w:val="46B75DE7"/>
    <w:rsid w:val="47490A0A"/>
    <w:rsid w:val="47C53370"/>
    <w:rsid w:val="483E4851"/>
    <w:rsid w:val="485E04E5"/>
    <w:rsid w:val="491A440C"/>
    <w:rsid w:val="4A3E412A"/>
    <w:rsid w:val="4AA30431"/>
    <w:rsid w:val="4AB56AE2"/>
    <w:rsid w:val="4AD433DC"/>
    <w:rsid w:val="4C752B7D"/>
    <w:rsid w:val="4CE90CC5"/>
    <w:rsid w:val="4D1107FD"/>
    <w:rsid w:val="4D4E28D6"/>
    <w:rsid w:val="4D861E62"/>
    <w:rsid w:val="4E395334"/>
    <w:rsid w:val="4E4F113A"/>
    <w:rsid w:val="503E4E84"/>
    <w:rsid w:val="50697A27"/>
    <w:rsid w:val="509D6459"/>
    <w:rsid w:val="50EE4AFC"/>
    <w:rsid w:val="50FB2D75"/>
    <w:rsid w:val="51581F75"/>
    <w:rsid w:val="51A258E6"/>
    <w:rsid w:val="51BF6FE1"/>
    <w:rsid w:val="522E2240"/>
    <w:rsid w:val="52A5226E"/>
    <w:rsid w:val="52D01FDF"/>
    <w:rsid w:val="52DD3E17"/>
    <w:rsid w:val="53334A48"/>
    <w:rsid w:val="54492049"/>
    <w:rsid w:val="54877D10"/>
    <w:rsid w:val="54BA4CF5"/>
    <w:rsid w:val="54DA0EF3"/>
    <w:rsid w:val="551B5793"/>
    <w:rsid w:val="55305925"/>
    <w:rsid w:val="554634AF"/>
    <w:rsid w:val="55A41C2D"/>
    <w:rsid w:val="55BD2CEE"/>
    <w:rsid w:val="563B2BBD"/>
    <w:rsid w:val="569869C4"/>
    <w:rsid w:val="56A619D5"/>
    <w:rsid w:val="56BE6D1E"/>
    <w:rsid w:val="56CD0D0F"/>
    <w:rsid w:val="56F37FB7"/>
    <w:rsid w:val="57E41D2A"/>
    <w:rsid w:val="582708F3"/>
    <w:rsid w:val="58D36385"/>
    <w:rsid w:val="58F307D5"/>
    <w:rsid w:val="59A81F82"/>
    <w:rsid w:val="59C53F20"/>
    <w:rsid w:val="5A513A05"/>
    <w:rsid w:val="5AD84127"/>
    <w:rsid w:val="5B5437AD"/>
    <w:rsid w:val="5B6F4A8B"/>
    <w:rsid w:val="5C8C6F77"/>
    <w:rsid w:val="5CDD5A24"/>
    <w:rsid w:val="5CEB1EEF"/>
    <w:rsid w:val="5D0B07E3"/>
    <w:rsid w:val="5D107BA8"/>
    <w:rsid w:val="5D3513BC"/>
    <w:rsid w:val="5D8A795A"/>
    <w:rsid w:val="5D973758"/>
    <w:rsid w:val="5D995DEF"/>
    <w:rsid w:val="5D9C768D"/>
    <w:rsid w:val="5EFD2BF2"/>
    <w:rsid w:val="5EFE6E17"/>
    <w:rsid w:val="5F011E9E"/>
    <w:rsid w:val="5F0B0627"/>
    <w:rsid w:val="5F131BD1"/>
    <w:rsid w:val="5F375E16"/>
    <w:rsid w:val="60033C5A"/>
    <w:rsid w:val="60AD570E"/>
    <w:rsid w:val="61647159"/>
    <w:rsid w:val="62081A69"/>
    <w:rsid w:val="62E219B1"/>
    <w:rsid w:val="637C7D45"/>
    <w:rsid w:val="63A64809"/>
    <w:rsid w:val="63DC4C88"/>
    <w:rsid w:val="645E3E33"/>
    <w:rsid w:val="64965C84"/>
    <w:rsid w:val="651F5CA2"/>
    <w:rsid w:val="65231C13"/>
    <w:rsid w:val="65717652"/>
    <w:rsid w:val="658B6891"/>
    <w:rsid w:val="66EB346C"/>
    <w:rsid w:val="6727621A"/>
    <w:rsid w:val="673E77F9"/>
    <w:rsid w:val="67B56BEB"/>
    <w:rsid w:val="68204069"/>
    <w:rsid w:val="68721717"/>
    <w:rsid w:val="689F0CB2"/>
    <w:rsid w:val="694766FF"/>
    <w:rsid w:val="69894F6A"/>
    <w:rsid w:val="69B83AA1"/>
    <w:rsid w:val="69D361E5"/>
    <w:rsid w:val="6A291EB2"/>
    <w:rsid w:val="6C7F4402"/>
    <w:rsid w:val="6CAF430C"/>
    <w:rsid w:val="6D475CF9"/>
    <w:rsid w:val="6D836174"/>
    <w:rsid w:val="6E9C129B"/>
    <w:rsid w:val="6F9E056C"/>
    <w:rsid w:val="6FB24AEE"/>
    <w:rsid w:val="703B6CD7"/>
    <w:rsid w:val="70453BB5"/>
    <w:rsid w:val="705931BC"/>
    <w:rsid w:val="714E1AB7"/>
    <w:rsid w:val="71663DE2"/>
    <w:rsid w:val="719C7804"/>
    <w:rsid w:val="71B7463E"/>
    <w:rsid w:val="727E6F0A"/>
    <w:rsid w:val="72807126"/>
    <w:rsid w:val="7294672D"/>
    <w:rsid w:val="72FF629D"/>
    <w:rsid w:val="73EB6821"/>
    <w:rsid w:val="74671781"/>
    <w:rsid w:val="74AE3A68"/>
    <w:rsid w:val="751C1CFB"/>
    <w:rsid w:val="75281E8A"/>
    <w:rsid w:val="75B82733"/>
    <w:rsid w:val="76342701"/>
    <w:rsid w:val="7671125F"/>
    <w:rsid w:val="770727D6"/>
    <w:rsid w:val="773B361B"/>
    <w:rsid w:val="77534E9B"/>
    <w:rsid w:val="779F3BAA"/>
    <w:rsid w:val="77E43CB3"/>
    <w:rsid w:val="78031871"/>
    <w:rsid w:val="785E75C1"/>
    <w:rsid w:val="788A2AAC"/>
    <w:rsid w:val="78B13B95"/>
    <w:rsid w:val="79C952A7"/>
    <w:rsid w:val="79D910DD"/>
    <w:rsid w:val="7A1B1179"/>
    <w:rsid w:val="7ACF65E9"/>
    <w:rsid w:val="7B0408F4"/>
    <w:rsid w:val="7B0F5208"/>
    <w:rsid w:val="7B543731"/>
    <w:rsid w:val="7BF82F51"/>
    <w:rsid w:val="7C2F59BD"/>
    <w:rsid w:val="7D8F646F"/>
    <w:rsid w:val="7DCF52A0"/>
    <w:rsid w:val="7E846485"/>
    <w:rsid w:val="7EF154E0"/>
    <w:rsid w:val="7F030EC3"/>
    <w:rsid w:val="7F244161"/>
    <w:rsid w:val="7FE934FA"/>
    <w:rsid w:val="7FFA7C9D"/>
    <w:rsid w:val="7FFD1D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7">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8">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keepNext w:val="0"/>
      <w:keepLines w:val="0"/>
      <w:widowControl w:val="0"/>
      <w:suppressLineNumbers w:val="0"/>
      <w:spacing w:before="0" w:beforeAutospacing="0" w:after="120" w:afterAutospacing="0"/>
      <w:ind w:left="0" w:right="0"/>
      <w:jc w:val="both"/>
    </w:pPr>
    <w:rPr>
      <w:rFonts w:ascii="Calibri" w:hAnsi="Calibri"/>
      <w:kern w:val="2"/>
      <w:sz w:val="21"/>
      <w:szCs w:val="24"/>
    </w:rPr>
  </w:style>
  <w:style w:type="paragraph" w:styleId="3">
    <w:name w:val="Body Text 2"/>
    <w:basedOn w:val="1"/>
    <w:qFormat/>
    <w:uiPriority w:val="99"/>
    <w:rPr>
      <w:rFonts w:ascii="楷体_GB2312" w:hAnsi="Copperplate Gothic Bold" w:eastAsia="楷体_GB2312"/>
      <w:sz w:val="28"/>
    </w:rPr>
  </w:style>
  <w:style w:type="paragraph" w:styleId="9">
    <w:name w:val="annotation text"/>
    <w:basedOn w:val="1"/>
    <w:qFormat/>
    <w:uiPriority w:val="0"/>
    <w:pPr>
      <w:jc w:val="left"/>
    </w:pPr>
  </w:style>
  <w:style w:type="paragraph" w:styleId="10">
    <w:name w:val="Body Text Indent"/>
    <w:basedOn w:val="1"/>
    <w:qFormat/>
    <w:uiPriority w:val="0"/>
    <w:pPr>
      <w:ind w:firstLine="200" w:firstLineChars="200"/>
    </w:pPr>
    <w:rPr>
      <w:sz w:val="28"/>
      <w:szCs w:val="24"/>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toc 2"/>
    <w:basedOn w:val="1"/>
    <w:next w:val="1"/>
    <w:qFormat/>
    <w:uiPriority w:val="0"/>
    <w:pPr>
      <w:ind w:left="420" w:leftChars="200"/>
    </w:pPr>
  </w:style>
  <w:style w:type="paragraph" w:styleId="14">
    <w:name w:val="Normal (Web)"/>
    <w:basedOn w:val="1"/>
    <w:qFormat/>
    <w:uiPriority w:val="0"/>
    <w:pPr>
      <w:widowControl/>
      <w:spacing w:before="100" w:beforeAutospacing="1" w:after="100" w:afterAutospacing="1"/>
      <w:jc w:val="left"/>
    </w:pPr>
    <w:rPr>
      <w:rFonts w:ascii="宋体" w:eastAsia="宋体" w:cs="宋体"/>
      <w:kern w:val="0"/>
      <w:sz w:val="24"/>
      <w:szCs w:val="24"/>
      <w:lang w:val="en-US" w:eastAsia="zh-CN" w:bidi="ar-SA"/>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qFormat/>
    <w:uiPriority w:val="0"/>
    <w:rPr>
      <w:color w:val="0000FF"/>
      <w:u w:val="single"/>
    </w:rPr>
  </w:style>
  <w:style w:type="character" w:customStyle="1" w:styleId="19">
    <w:name w:val="font11"/>
    <w:basedOn w:val="17"/>
    <w:qFormat/>
    <w:uiPriority w:val="0"/>
    <w:rPr>
      <w:rFonts w:hint="eastAsia" w:ascii="宋体" w:hAnsi="宋体" w:eastAsia="宋体" w:cs="宋体"/>
      <w:color w:val="000000"/>
      <w:sz w:val="28"/>
      <w:szCs w:val="28"/>
      <w:u w:val="none"/>
    </w:rPr>
  </w:style>
  <w:style w:type="character" w:customStyle="1" w:styleId="20">
    <w:name w:val="font51"/>
    <w:basedOn w:val="17"/>
    <w:qFormat/>
    <w:uiPriority w:val="0"/>
    <w:rPr>
      <w:rFonts w:hint="eastAsia" w:ascii="宋体" w:hAnsi="宋体" w:eastAsia="宋体" w:cs="宋体"/>
      <w:color w:val="FF0000"/>
      <w:sz w:val="28"/>
      <w:szCs w:val="28"/>
      <w:u w:val="none"/>
    </w:rPr>
  </w:style>
  <w:style w:type="character" w:customStyle="1" w:styleId="21">
    <w:name w:val="font01"/>
    <w:basedOn w:val="17"/>
    <w:qFormat/>
    <w:uiPriority w:val="0"/>
    <w:rPr>
      <w:rFonts w:ascii="宋体" w:hAnsi="宋体" w:eastAsia="宋体" w:cs="宋体"/>
      <w:color w:val="000000"/>
      <w:sz w:val="24"/>
      <w:szCs w:val="24"/>
      <w:u w:val="none"/>
    </w:rPr>
  </w:style>
  <w:style w:type="character" w:customStyle="1" w:styleId="22">
    <w:name w:val="font21"/>
    <w:basedOn w:val="17"/>
    <w:qFormat/>
    <w:uiPriority w:val="0"/>
    <w:rPr>
      <w:rFonts w:ascii="宋体" w:hAnsi="宋体" w:eastAsia="宋体" w:cs="宋体"/>
      <w:color w:val="000000"/>
      <w:sz w:val="24"/>
      <w:szCs w:val="24"/>
      <w:u w:val="none"/>
    </w:rPr>
  </w:style>
  <w:style w:type="character" w:customStyle="1" w:styleId="23">
    <w:name w:val="font31"/>
    <w:basedOn w:val="17"/>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2628</Words>
  <Characters>3053</Characters>
  <Lines>0</Lines>
  <Paragraphs>0</Paragraphs>
  <TotalTime>8</TotalTime>
  <ScaleCrop>false</ScaleCrop>
  <LinksUpToDate>false</LinksUpToDate>
  <CharactersWithSpaces>3112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2025-06-13T08:16:00Z</dcterms:created>
  <dc:creator>海纳百川</dc:creator>
  <cp:lastModifiedBy>＆一笑而过::&gt;_&lt;:</cp:lastModifiedBy>
  <dcterms:modified xsi:type="dcterms:W3CDTF">2025-12-19T06:17:48Z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02B76D7C75F54929AA4F1361A4B5A207_13</vt:lpwstr>
  </property>
  <property fmtid="{D5CDD505-2E9C-101B-9397-08002B2CF9AE}" pid="4" name="KSOTemplateDocerSaveRecord">
    <vt:lpwstr>eyJoZGlkIjoiNGYyZWE5OWUzMGI3ZWUyNjZhYTk0YzRkZDlmMmJlOGQiLCJ1c2VySWQiOiIxMTY2NzU5ODkyIn0=</vt:lpwstr>
  </property>
</Properties>
</file>